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AB" w:rsidRPr="00A82130" w:rsidRDefault="00322EA5" w:rsidP="00255781">
      <w:pPr>
        <w:pStyle w:val="Kop3"/>
        <w:spacing w:before="120" w:after="120" w:line="264" w:lineRule="auto"/>
        <w:jc w:val="center"/>
        <w:rPr>
          <w:sz w:val="24"/>
          <w:szCs w:val="24"/>
        </w:rPr>
      </w:pPr>
      <w:bookmarkStart w:id="0" w:name="OLE_LINK18"/>
      <w:bookmarkStart w:id="1" w:name="OLE_LINK15"/>
      <w:bookmarkStart w:id="2" w:name="OLE_LINK16"/>
      <w:bookmarkStart w:id="3" w:name="OLE_LINK17"/>
      <w:bookmarkStart w:id="4" w:name="OLE_LINK19"/>
      <w:bookmarkStart w:id="5" w:name="OLE_LINK20"/>
      <w:bookmarkStart w:id="6" w:name="OLE_LINK21"/>
      <w:bookmarkStart w:id="7" w:name="_GoBack"/>
      <w:bookmarkEnd w:id="7"/>
      <w:r>
        <w:rPr>
          <w:sz w:val="24"/>
          <w:szCs w:val="24"/>
        </w:rPr>
        <w:t>Aankoop, gebruik en imago van melk</w:t>
      </w:r>
      <w:r w:rsidR="005B3164">
        <w:rPr>
          <w:sz w:val="24"/>
          <w:szCs w:val="24"/>
        </w:rPr>
        <w:t xml:space="preserve"> in 2016</w:t>
      </w:r>
    </w:p>
    <w:p w:rsidR="00B232E1" w:rsidRPr="00255781" w:rsidRDefault="00255781" w:rsidP="00B902D0">
      <w:pPr>
        <w:pStyle w:val="Plattetekst2"/>
        <w:spacing w:before="360" w:after="120" w:line="264" w:lineRule="auto"/>
        <w:rPr>
          <w:rFonts w:ascii="Arial" w:hAnsi="Arial" w:cs="Arial"/>
          <w:i/>
          <w:sz w:val="20"/>
        </w:rPr>
      </w:pPr>
      <w:r w:rsidRPr="00255781">
        <w:rPr>
          <w:rFonts w:ascii="Arial" w:hAnsi="Arial" w:cs="Arial"/>
          <w:i/>
          <w:sz w:val="20"/>
          <w:lang w:val="nl-BE"/>
        </w:rPr>
        <w:t xml:space="preserve">In 2016 kocht de gemiddelde Belg 45,7 liter consumptiemelk, wat 6% </w:t>
      </w:r>
      <w:r w:rsidR="002272A9">
        <w:rPr>
          <w:rFonts w:ascii="Arial" w:hAnsi="Arial" w:cs="Arial"/>
          <w:i/>
          <w:sz w:val="20"/>
          <w:lang w:val="nl-BE"/>
        </w:rPr>
        <w:t>minder</w:t>
      </w:r>
      <w:r w:rsidR="002272A9" w:rsidRPr="00255781">
        <w:rPr>
          <w:rFonts w:ascii="Arial" w:hAnsi="Arial" w:cs="Arial"/>
          <w:i/>
          <w:sz w:val="20"/>
          <w:lang w:val="nl-BE"/>
        </w:rPr>
        <w:t xml:space="preserve"> </w:t>
      </w:r>
      <w:r w:rsidRPr="00255781">
        <w:rPr>
          <w:rFonts w:ascii="Arial" w:hAnsi="Arial" w:cs="Arial"/>
          <w:i/>
          <w:sz w:val="20"/>
          <w:lang w:val="nl-BE"/>
        </w:rPr>
        <w:t xml:space="preserve">is dan in 2015. </w:t>
      </w:r>
      <w:r w:rsidR="00BB7DBA" w:rsidRPr="00255781">
        <w:rPr>
          <w:rFonts w:ascii="Arial" w:hAnsi="Arial" w:cs="Arial"/>
          <w:i/>
          <w:sz w:val="20"/>
          <w:lang w:val="nl-BE"/>
        </w:rPr>
        <w:t xml:space="preserve">Door een hogere gemiddelde prijs bleven de melkbestedingen wel op peil. </w:t>
      </w:r>
      <w:r w:rsidRPr="00255781">
        <w:rPr>
          <w:rFonts w:ascii="Arial" w:hAnsi="Arial" w:cs="Arial"/>
          <w:i/>
          <w:sz w:val="20"/>
          <w:lang w:val="nl-BE"/>
        </w:rPr>
        <w:t xml:space="preserve">Binnen consumptiemelk is witte melk de </w:t>
      </w:r>
      <w:r>
        <w:rPr>
          <w:rFonts w:ascii="Arial" w:hAnsi="Arial" w:cs="Arial"/>
          <w:i/>
          <w:sz w:val="20"/>
          <w:lang w:val="nl-BE"/>
        </w:rPr>
        <w:t xml:space="preserve">belangrijkste categorie, maar </w:t>
      </w:r>
      <w:r w:rsidRPr="00255781">
        <w:rPr>
          <w:rFonts w:ascii="Arial" w:hAnsi="Arial" w:cs="Arial"/>
          <w:i/>
          <w:sz w:val="20"/>
          <w:lang w:val="nl-BE"/>
        </w:rPr>
        <w:t xml:space="preserve">ook </w:t>
      </w:r>
      <w:r w:rsidR="0025047C">
        <w:rPr>
          <w:rFonts w:ascii="Arial" w:hAnsi="Arial" w:cs="Arial"/>
          <w:i/>
          <w:sz w:val="20"/>
          <w:lang w:val="nl-BE"/>
        </w:rPr>
        <w:t>een sterke</w:t>
      </w:r>
      <w:r w:rsidRPr="00255781">
        <w:rPr>
          <w:rFonts w:ascii="Arial" w:hAnsi="Arial" w:cs="Arial"/>
          <w:i/>
          <w:sz w:val="20"/>
          <w:lang w:val="nl-BE"/>
        </w:rPr>
        <w:t xml:space="preserve"> daler. Voor drinkyoghurts en gearomatiseerde melk (vnl. chocomelk) noteerden we in 2016 </w:t>
      </w:r>
      <w:r>
        <w:rPr>
          <w:rFonts w:ascii="Arial" w:hAnsi="Arial" w:cs="Arial"/>
          <w:i/>
          <w:sz w:val="20"/>
          <w:lang w:val="nl-BE"/>
        </w:rPr>
        <w:t xml:space="preserve">wel </w:t>
      </w:r>
      <w:r w:rsidRPr="00255781">
        <w:rPr>
          <w:rFonts w:ascii="Arial" w:hAnsi="Arial" w:cs="Arial"/>
          <w:i/>
          <w:sz w:val="20"/>
          <w:lang w:val="nl-BE"/>
        </w:rPr>
        <w:t>een stijging.</w:t>
      </w:r>
      <w:r>
        <w:rPr>
          <w:rFonts w:ascii="Arial" w:hAnsi="Arial" w:cs="Arial"/>
          <w:i/>
          <w:sz w:val="20"/>
          <w:lang w:val="nl-BE"/>
        </w:rPr>
        <w:t xml:space="preserve"> Opvallend is dat naast melk ook het thuisverbruik van plantaardige drinks (sojadrinks, rijstdrinks …) in 2016 een volumedaling kende van 7% tot 3,7 liter per capita.</w:t>
      </w:r>
      <w:r w:rsidR="00CA4B82">
        <w:rPr>
          <w:rFonts w:ascii="Arial" w:hAnsi="Arial" w:cs="Arial"/>
          <w:i/>
          <w:sz w:val="20"/>
          <w:lang w:val="nl-BE"/>
        </w:rPr>
        <w:t xml:space="preserve"> </w:t>
      </w:r>
      <w:r w:rsidR="00B232E1" w:rsidRPr="00255781">
        <w:rPr>
          <w:rFonts w:ascii="Arial" w:hAnsi="Arial" w:cs="Arial"/>
          <w:i/>
          <w:sz w:val="20"/>
        </w:rPr>
        <w:t xml:space="preserve">Dit blijkt uit de gegevens die GfK </w:t>
      </w:r>
      <w:r w:rsidR="0013242C" w:rsidRPr="00255781">
        <w:rPr>
          <w:rFonts w:ascii="Arial" w:hAnsi="Arial" w:cs="Arial"/>
          <w:i/>
          <w:sz w:val="20"/>
        </w:rPr>
        <w:t>Belgium</w:t>
      </w:r>
      <w:r w:rsidR="00B232E1" w:rsidRPr="00255781">
        <w:rPr>
          <w:rFonts w:ascii="Arial" w:hAnsi="Arial" w:cs="Arial"/>
          <w:i/>
          <w:sz w:val="20"/>
        </w:rPr>
        <w:t xml:space="preserve"> verzamelde </w:t>
      </w:r>
      <w:r w:rsidR="00C749AA" w:rsidRPr="00255781">
        <w:rPr>
          <w:rFonts w:ascii="Arial" w:hAnsi="Arial" w:cs="Arial"/>
          <w:i/>
          <w:sz w:val="20"/>
        </w:rPr>
        <w:t>bij een panel van 5.000 Belgische gezinnen.</w:t>
      </w:r>
      <w:r w:rsidR="00322EA5">
        <w:rPr>
          <w:rFonts w:ascii="Arial" w:hAnsi="Arial" w:cs="Arial"/>
          <w:i/>
          <w:sz w:val="20"/>
        </w:rPr>
        <w:t xml:space="preserve"> Daarnaast blijkt uit een onderzoek van </w:t>
      </w:r>
      <w:proofErr w:type="spellStart"/>
      <w:r w:rsidR="00322EA5">
        <w:rPr>
          <w:rFonts w:ascii="Arial" w:hAnsi="Arial" w:cs="Arial"/>
          <w:i/>
          <w:sz w:val="20"/>
        </w:rPr>
        <w:t>iVox</w:t>
      </w:r>
      <w:proofErr w:type="spellEnd"/>
      <w:r w:rsidR="00322EA5">
        <w:rPr>
          <w:rFonts w:ascii="Arial" w:hAnsi="Arial" w:cs="Arial"/>
          <w:i/>
          <w:sz w:val="20"/>
        </w:rPr>
        <w:t xml:space="preserve"> in opdracht van VLAM dat melk veel gebruikstoepassingen en -momenten kent en dat het een onmisbaar basisproduct is dat past in een gezonde en evenwichtige voeding.</w:t>
      </w:r>
    </w:p>
    <w:p w:rsidR="00292D6D" w:rsidRPr="00295A30" w:rsidRDefault="00F0706C" w:rsidP="00B07C8C">
      <w:pPr>
        <w:tabs>
          <w:tab w:val="left" w:pos="0"/>
        </w:tabs>
        <w:spacing w:before="360" w:after="120" w:line="264" w:lineRule="auto"/>
        <w:rPr>
          <w:rFonts w:ascii="Arial" w:hAnsi="Arial" w:cs="Arial"/>
          <w:b/>
          <w:sz w:val="20"/>
        </w:rPr>
      </w:pPr>
      <w:r w:rsidRPr="00295A30">
        <w:rPr>
          <w:rFonts w:ascii="Arial" w:hAnsi="Arial" w:cs="Arial"/>
          <w:b/>
          <w:sz w:val="20"/>
        </w:rPr>
        <w:t>Dalend melkvolume, maar stabiele besteding</w:t>
      </w:r>
    </w:p>
    <w:p w:rsidR="00F0706C" w:rsidRDefault="00F0706C" w:rsidP="00255781">
      <w:pPr>
        <w:tabs>
          <w:tab w:val="left" w:pos="142"/>
        </w:tabs>
        <w:spacing w:before="120" w:after="120" w:line="264" w:lineRule="auto"/>
        <w:rPr>
          <w:rFonts w:ascii="Arial" w:hAnsi="Arial" w:cs="Arial"/>
          <w:sz w:val="20"/>
        </w:rPr>
      </w:pPr>
      <w:r>
        <w:rPr>
          <w:rFonts w:ascii="Arial" w:hAnsi="Arial" w:cs="Arial"/>
          <w:sz w:val="20"/>
        </w:rPr>
        <w:t>De melkaankopen daalden met 6% van 48,6 liter per capita in 2015 tot 45,7 liter in 2016. Tussen september 2015 en februari 2016 verhoogden de retailkanalen, als gevolg van het zuivelakkoord, hun melkprijzen. Deze verhoging liep nog door tot juni 2016. Hierdoor steeg de gemiddelde prijs van consumptiemelk van 0,86 euro per liter in 2015 tot 0,91 euro in 2016. Deze prijsstijging zorgde ervoor dat de melkbesteding in 2016 stabiel bleef op 41,8 euro per capita.</w:t>
      </w:r>
      <w:r w:rsidR="001F3D57">
        <w:rPr>
          <w:rFonts w:ascii="Arial" w:hAnsi="Arial" w:cs="Arial"/>
          <w:sz w:val="20"/>
        </w:rPr>
        <w:t xml:space="preserve"> De volumedaling situeerde zich in 2016 vooral bij de &lt;40-jarigen.</w:t>
      </w:r>
    </w:p>
    <w:p w:rsidR="00E5416A" w:rsidRDefault="001913AE" w:rsidP="001913AE">
      <w:pPr>
        <w:tabs>
          <w:tab w:val="left" w:pos="142"/>
        </w:tabs>
        <w:spacing w:before="120" w:after="120" w:line="264" w:lineRule="auto"/>
        <w:jc w:val="center"/>
        <w:rPr>
          <w:rFonts w:ascii="Arial" w:hAnsi="Arial" w:cs="Arial"/>
          <w:sz w:val="20"/>
        </w:rPr>
      </w:pPr>
      <w:r>
        <w:rPr>
          <w:rFonts w:ascii="Arial" w:hAnsi="Arial" w:cs="Arial"/>
          <w:noProof/>
          <w:sz w:val="20"/>
          <w:lang w:val="nl-BE" w:eastAsia="nl-BE"/>
        </w:rPr>
        <w:drawing>
          <wp:inline distT="0" distB="0" distL="0" distR="0">
            <wp:extent cx="5029200" cy="3248025"/>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A07DD" w:rsidRPr="001913AE" w:rsidRDefault="001913AE" w:rsidP="001913AE">
      <w:pPr>
        <w:tabs>
          <w:tab w:val="left" w:pos="142"/>
        </w:tabs>
        <w:spacing w:before="120" w:after="120" w:line="264" w:lineRule="auto"/>
        <w:ind w:left="567"/>
        <w:rPr>
          <w:rFonts w:ascii="Arial" w:hAnsi="Arial" w:cs="Arial"/>
          <w:i/>
          <w:sz w:val="16"/>
          <w:szCs w:val="16"/>
        </w:rPr>
      </w:pPr>
      <w:r w:rsidRPr="001913AE">
        <w:rPr>
          <w:rFonts w:ascii="Arial" w:hAnsi="Arial" w:cs="Arial"/>
          <w:i/>
          <w:sz w:val="16"/>
          <w:szCs w:val="16"/>
        </w:rPr>
        <w:t>Bron: GfK Belgium</w:t>
      </w:r>
    </w:p>
    <w:bookmarkEnd w:id="0"/>
    <w:p w:rsidR="00295A30" w:rsidRPr="00295A30" w:rsidRDefault="00295A30" w:rsidP="00B07C8C">
      <w:pPr>
        <w:tabs>
          <w:tab w:val="left" w:pos="0"/>
        </w:tabs>
        <w:spacing w:before="360" w:after="120" w:line="264" w:lineRule="auto"/>
        <w:rPr>
          <w:rFonts w:ascii="Arial" w:hAnsi="Arial" w:cs="Arial"/>
          <w:b/>
          <w:sz w:val="20"/>
        </w:rPr>
      </w:pPr>
      <w:r w:rsidRPr="00295A30">
        <w:rPr>
          <w:rFonts w:ascii="Arial" w:hAnsi="Arial" w:cs="Arial"/>
          <w:b/>
          <w:sz w:val="20"/>
        </w:rPr>
        <w:t>Witte melk en gefermenteerde melkdrinks dalen, gearomatiseerde melk en drinkyoghurt stijgen</w:t>
      </w:r>
    </w:p>
    <w:p w:rsidR="00037A67" w:rsidRDefault="0025047C" w:rsidP="00255781">
      <w:pPr>
        <w:tabs>
          <w:tab w:val="left" w:pos="142"/>
        </w:tabs>
        <w:spacing w:before="120" w:after="120" w:line="264" w:lineRule="auto"/>
        <w:rPr>
          <w:rFonts w:ascii="Arial" w:hAnsi="Arial" w:cs="Arial"/>
          <w:sz w:val="20"/>
        </w:rPr>
      </w:pPr>
      <w:r w:rsidRPr="0025047C">
        <w:rPr>
          <w:rFonts w:ascii="Arial" w:hAnsi="Arial" w:cs="Arial"/>
          <w:sz w:val="20"/>
        </w:rPr>
        <w:t xml:space="preserve">Binnen </w:t>
      </w:r>
      <w:r>
        <w:rPr>
          <w:rFonts w:ascii="Arial" w:hAnsi="Arial" w:cs="Arial"/>
          <w:sz w:val="20"/>
        </w:rPr>
        <w:t xml:space="preserve">consumptiemelk </w:t>
      </w:r>
      <w:r w:rsidR="002272A9">
        <w:rPr>
          <w:rFonts w:ascii="Arial" w:hAnsi="Arial" w:cs="Arial"/>
          <w:sz w:val="20"/>
        </w:rPr>
        <w:t xml:space="preserve">vormt </w:t>
      </w:r>
      <w:r>
        <w:rPr>
          <w:rFonts w:ascii="Arial" w:hAnsi="Arial" w:cs="Arial"/>
          <w:sz w:val="20"/>
        </w:rPr>
        <w:t xml:space="preserve">witte consumptiemelk de belangrijkste categorie. Met een volume van 38 liter per capita heeft het een volumeaandeel van </w:t>
      </w:r>
      <w:r w:rsidR="00103689">
        <w:rPr>
          <w:rFonts w:ascii="Arial" w:hAnsi="Arial" w:cs="Arial"/>
          <w:sz w:val="20"/>
        </w:rPr>
        <w:t xml:space="preserve">83% binnen consumptiemelk. Het is ook wel </w:t>
      </w:r>
      <w:r>
        <w:rPr>
          <w:rFonts w:ascii="Arial" w:hAnsi="Arial" w:cs="Arial"/>
          <w:sz w:val="20"/>
        </w:rPr>
        <w:t>een belangrijke daler</w:t>
      </w:r>
      <w:r w:rsidR="00103689">
        <w:rPr>
          <w:rFonts w:ascii="Arial" w:hAnsi="Arial" w:cs="Arial"/>
          <w:sz w:val="20"/>
        </w:rPr>
        <w:t xml:space="preserve"> (-7,5%)</w:t>
      </w:r>
      <w:r w:rsidR="000B3A8B">
        <w:rPr>
          <w:rFonts w:ascii="Arial" w:hAnsi="Arial" w:cs="Arial"/>
          <w:sz w:val="20"/>
        </w:rPr>
        <w:t>, vooral door een dalende aankoopfrequentie.</w:t>
      </w:r>
      <w:r>
        <w:rPr>
          <w:rFonts w:ascii="Arial" w:hAnsi="Arial" w:cs="Arial"/>
          <w:sz w:val="20"/>
        </w:rPr>
        <w:t xml:space="preserve"> Een andere daler binnen consumptiemelk zijn de gefermenteerde melkdrinks. Zij daalden van 3,0 liter per capita in 2008 naar nog 1,3 liter in 2015 en 1,2 liter in 2016. </w:t>
      </w:r>
      <w:r w:rsidR="000B3A8B">
        <w:rPr>
          <w:rFonts w:ascii="Arial" w:hAnsi="Arial" w:cs="Arial"/>
          <w:sz w:val="20"/>
        </w:rPr>
        <w:t xml:space="preserve">Het percentage kopers van gefermenteerde melk bleef wel stabiel op 28%, maar die kopers zijn minder fanatiek geworden in hun gebruik. </w:t>
      </w:r>
      <w:r w:rsidR="00103689">
        <w:rPr>
          <w:rFonts w:ascii="Arial" w:hAnsi="Arial" w:cs="Arial"/>
          <w:sz w:val="20"/>
        </w:rPr>
        <w:t>Positieve evoluties zien we bij drinkyoghurt, dat steeg met 5,5% tot 0,9 liter per capita, en gearomatiseerde melk (o.a. chocomelk), dat steeg met 2,5% tot 4,6 liter per capita.</w:t>
      </w:r>
      <w:r w:rsidR="000B3A8B">
        <w:rPr>
          <w:rFonts w:ascii="Arial" w:hAnsi="Arial" w:cs="Arial"/>
          <w:sz w:val="20"/>
        </w:rPr>
        <w:t xml:space="preserve"> Bij beide producten zien we een stijging van het aantal kopers. </w:t>
      </w:r>
    </w:p>
    <w:p w:rsidR="00B07C8C" w:rsidRPr="00B07C8C" w:rsidRDefault="00B07C8C" w:rsidP="00B07C8C">
      <w:pPr>
        <w:tabs>
          <w:tab w:val="left" w:pos="0"/>
        </w:tabs>
        <w:spacing w:before="360" w:after="120" w:line="264" w:lineRule="auto"/>
        <w:rPr>
          <w:rFonts w:ascii="Arial" w:hAnsi="Arial" w:cs="Arial"/>
          <w:b/>
          <w:sz w:val="20"/>
        </w:rPr>
      </w:pPr>
      <w:r>
        <w:rPr>
          <w:rFonts w:ascii="Arial" w:hAnsi="Arial" w:cs="Arial"/>
          <w:b/>
          <w:sz w:val="20"/>
        </w:rPr>
        <w:lastRenderedPageBreak/>
        <w:t>Belg koopt vooral halfvolle melk</w:t>
      </w:r>
    </w:p>
    <w:p w:rsidR="00103689" w:rsidRPr="0025047C" w:rsidRDefault="00103689" w:rsidP="00255781">
      <w:pPr>
        <w:tabs>
          <w:tab w:val="left" w:pos="142"/>
        </w:tabs>
        <w:spacing w:before="120" w:after="120" w:line="264" w:lineRule="auto"/>
        <w:rPr>
          <w:rFonts w:ascii="Arial" w:hAnsi="Arial" w:cs="Arial"/>
          <w:sz w:val="20"/>
        </w:rPr>
      </w:pPr>
      <w:r>
        <w:rPr>
          <w:rFonts w:ascii="Arial" w:hAnsi="Arial" w:cs="Arial"/>
          <w:sz w:val="20"/>
        </w:rPr>
        <w:t xml:space="preserve">Het merendeel van de gekochte witte consumptiemelk is halfvolle melk. In 2016 was deze halfvolle melk goed voor een volumeaandeel van 64%. Volle melk haalde een aandeel van 15% en magere melk </w:t>
      </w:r>
      <w:r w:rsidR="002272A9">
        <w:rPr>
          <w:rFonts w:ascii="Arial" w:hAnsi="Arial" w:cs="Arial"/>
          <w:sz w:val="20"/>
        </w:rPr>
        <w:t xml:space="preserve">vertegenwoordigde </w:t>
      </w:r>
      <w:r>
        <w:rPr>
          <w:rFonts w:ascii="Arial" w:hAnsi="Arial" w:cs="Arial"/>
          <w:sz w:val="20"/>
        </w:rPr>
        <w:t xml:space="preserve">12%. Verder was er nog 7% volumeaandeel voor AA-melk en 2% voor verrijkte melk. Op langere termijn zien we vooral een daling van volle melk ten voordele van halfvolle </w:t>
      </w:r>
      <w:r w:rsidR="00F94C84">
        <w:rPr>
          <w:rFonts w:ascii="Arial" w:hAnsi="Arial" w:cs="Arial"/>
          <w:sz w:val="20"/>
        </w:rPr>
        <w:t xml:space="preserve">melk </w:t>
      </w:r>
      <w:r>
        <w:rPr>
          <w:rFonts w:ascii="Arial" w:hAnsi="Arial" w:cs="Arial"/>
          <w:sz w:val="20"/>
        </w:rPr>
        <w:t>en AA-melk.</w:t>
      </w:r>
    </w:p>
    <w:p w:rsidR="00292D6D" w:rsidRPr="00B07C8C" w:rsidRDefault="00AF6423" w:rsidP="00B07C8C">
      <w:pPr>
        <w:tabs>
          <w:tab w:val="left" w:pos="0"/>
        </w:tabs>
        <w:spacing w:before="360" w:after="120" w:line="264" w:lineRule="auto"/>
        <w:rPr>
          <w:rFonts w:ascii="Arial" w:hAnsi="Arial" w:cs="Arial"/>
          <w:b/>
          <w:sz w:val="20"/>
        </w:rPr>
      </w:pPr>
      <w:r w:rsidRPr="00B07C8C">
        <w:rPr>
          <w:rFonts w:ascii="Arial" w:hAnsi="Arial" w:cs="Arial"/>
          <w:b/>
          <w:sz w:val="20"/>
        </w:rPr>
        <w:t>Ook de plantaardige melksubstituten daalden in 2016</w:t>
      </w:r>
    </w:p>
    <w:p w:rsidR="00AF6423" w:rsidRDefault="00AF6423" w:rsidP="00255781">
      <w:pPr>
        <w:tabs>
          <w:tab w:val="left" w:pos="142"/>
        </w:tabs>
        <w:spacing w:before="120" w:after="120" w:line="264" w:lineRule="auto"/>
        <w:rPr>
          <w:rFonts w:ascii="Arial" w:hAnsi="Arial" w:cs="Arial"/>
          <w:sz w:val="20"/>
        </w:rPr>
      </w:pPr>
      <w:r>
        <w:rPr>
          <w:rFonts w:ascii="Arial" w:hAnsi="Arial" w:cs="Arial"/>
          <w:sz w:val="20"/>
        </w:rPr>
        <w:t xml:space="preserve">Na een stijging van het thuisverbruik van plantaardige drinks van 3,0 liter per capita in 2010 tot 4,0 liter in 2015, daalde het verbruik in 2016 plots met 7% tot 3,7 liter per capita. Het percentage kopende gezinnen steeg wel tot 53% (vooral door een stijging bij de jongere leeftijdsgroepen), maar door een lagere aankoopfrequentie en een lager volume per aankoop kwamen we dus </w:t>
      </w:r>
      <w:r w:rsidR="00993A65">
        <w:rPr>
          <w:rFonts w:ascii="Arial" w:hAnsi="Arial" w:cs="Arial"/>
          <w:sz w:val="20"/>
        </w:rPr>
        <w:t xml:space="preserve">in 2016 </w:t>
      </w:r>
      <w:r>
        <w:rPr>
          <w:rFonts w:ascii="Arial" w:hAnsi="Arial" w:cs="Arial"/>
          <w:sz w:val="20"/>
        </w:rPr>
        <w:t>uit op een daling.</w:t>
      </w:r>
      <w:r w:rsidR="00B2159D">
        <w:rPr>
          <w:rFonts w:ascii="Arial" w:hAnsi="Arial" w:cs="Arial"/>
          <w:sz w:val="20"/>
        </w:rPr>
        <w:t xml:space="preserve"> Hierdoor bleef het volumeaandeel van plantaardige drinks in 2016 steken op 7,5%. </w:t>
      </w:r>
    </w:p>
    <w:p w:rsidR="00AF6423" w:rsidRDefault="00652A84" w:rsidP="00255781">
      <w:pPr>
        <w:tabs>
          <w:tab w:val="left" w:pos="142"/>
        </w:tabs>
        <w:spacing w:before="120" w:after="120" w:line="264" w:lineRule="auto"/>
        <w:rPr>
          <w:rFonts w:ascii="Arial" w:hAnsi="Arial" w:cs="Arial"/>
          <w:sz w:val="20"/>
        </w:rPr>
      </w:pPr>
      <w:r>
        <w:rPr>
          <w:rFonts w:ascii="Arial" w:hAnsi="Arial" w:cs="Arial"/>
          <w:noProof/>
          <w:sz w:val="20"/>
          <w:lang w:val="nl-BE" w:eastAsia="nl-BE"/>
        </w:rPr>
        <w:drawing>
          <wp:inline distT="0" distB="0" distL="0" distR="0">
            <wp:extent cx="5486400" cy="346710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03A7" w:rsidRPr="001A51ED" w:rsidRDefault="001A51ED" w:rsidP="00255781">
      <w:pPr>
        <w:tabs>
          <w:tab w:val="left" w:pos="142"/>
        </w:tabs>
        <w:spacing w:before="120" w:after="120" w:line="264" w:lineRule="auto"/>
        <w:rPr>
          <w:rFonts w:ascii="Arial" w:hAnsi="Arial" w:cs="Arial"/>
          <w:i/>
          <w:sz w:val="16"/>
          <w:szCs w:val="16"/>
        </w:rPr>
      </w:pPr>
      <w:r w:rsidRPr="001A51ED">
        <w:rPr>
          <w:rFonts w:ascii="Arial" w:hAnsi="Arial" w:cs="Arial"/>
          <w:i/>
          <w:sz w:val="16"/>
          <w:szCs w:val="16"/>
        </w:rPr>
        <w:t>Bron: GfK Belgium</w:t>
      </w:r>
    </w:p>
    <w:p w:rsidR="00292D6D" w:rsidRPr="001F3D57" w:rsidRDefault="00A729A1" w:rsidP="001F3D57">
      <w:pPr>
        <w:tabs>
          <w:tab w:val="left" w:pos="0"/>
        </w:tabs>
        <w:spacing w:before="360" w:after="120" w:line="264" w:lineRule="auto"/>
        <w:rPr>
          <w:rFonts w:ascii="Arial" w:hAnsi="Arial" w:cs="Arial"/>
          <w:b/>
          <w:sz w:val="20"/>
        </w:rPr>
      </w:pPr>
      <w:r w:rsidRPr="001F3D57">
        <w:rPr>
          <w:rFonts w:ascii="Arial" w:hAnsi="Arial" w:cs="Arial"/>
          <w:b/>
          <w:sz w:val="20"/>
        </w:rPr>
        <w:t>Brik-</w:t>
      </w:r>
      <w:r w:rsidR="00E34162" w:rsidRPr="001F3D57">
        <w:rPr>
          <w:rFonts w:ascii="Arial" w:hAnsi="Arial" w:cs="Arial"/>
          <w:b/>
          <w:sz w:val="20"/>
        </w:rPr>
        <w:t xml:space="preserve"> </w:t>
      </w:r>
      <w:r w:rsidR="00B36EAF" w:rsidRPr="001F3D57">
        <w:rPr>
          <w:rFonts w:ascii="Arial" w:hAnsi="Arial" w:cs="Arial"/>
          <w:b/>
          <w:sz w:val="20"/>
        </w:rPr>
        <w:t>en</w:t>
      </w:r>
      <w:r w:rsidRPr="001F3D57">
        <w:rPr>
          <w:rFonts w:ascii="Arial" w:hAnsi="Arial" w:cs="Arial"/>
          <w:b/>
          <w:sz w:val="20"/>
        </w:rPr>
        <w:t xml:space="preserve"> </w:t>
      </w:r>
      <w:r w:rsidR="00D756E6" w:rsidRPr="001F3D57">
        <w:rPr>
          <w:rFonts w:ascii="Arial" w:hAnsi="Arial" w:cs="Arial"/>
          <w:b/>
          <w:sz w:val="20"/>
        </w:rPr>
        <w:t xml:space="preserve">literverpakking </w:t>
      </w:r>
      <w:r w:rsidR="001217B4" w:rsidRPr="001F3D57">
        <w:rPr>
          <w:rFonts w:ascii="Arial" w:hAnsi="Arial" w:cs="Arial"/>
          <w:b/>
          <w:sz w:val="20"/>
        </w:rPr>
        <w:t>zijn</w:t>
      </w:r>
      <w:r w:rsidR="00D756E6" w:rsidRPr="001F3D57">
        <w:rPr>
          <w:rFonts w:ascii="Arial" w:hAnsi="Arial" w:cs="Arial"/>
          <w:b/>
          <w:sz w:val="20"/>
        </w:rPr>
        <w:t xml:space="preserve"> de standaard</w:t>
      </w:r>
    </w:p>
    <w:p w:rsidR="0071685D" w:rsidRDefault="007948ED" w:rsidP="00255781">
      <w:pPr>
        <w:pStyle w:val="Plattetekst"/>
        <w:spacing w:line="264" w:lineRule="auto"/>
        <w:jc w:val="left"/>
        <w:rPr>
          <w:rFonts w:ascii="Arial" w:hAnsi="Arial" w:cs="Arial"/>
          <w:sz w:val="20"/>
          <w:lang w:val="nl-NL"/>
        </w:rPr>
      </w:pPr>
      <w:r>
        <w:rPr>
          <w:rFonts w:ascii="Arial" w:hAnsi="Arial" w:cs="Arial"/>
          <w:sz w:val="20"/>
          <w:lang w:val="nl-NL"/>
        </w:rPr>
        <w:t>8</w:t>
      </w:r>
      <w:r w:rsidR="001F3D57">
        <w:rPr>
          <w:rFonts w:ascii="Arial" w:hAnsi="Arial" w:cs="Arial"/>
          <w:sz w:val="20"/>
          <w:lang w:val="nl-NL"/>
        </w:rPr>
        <w:t>4</w:t>
      </w:r>
      <w:r w:rsidR="00D756E6" w:rsidRPr="00E74EE8">
        <w:rPr>
          <w:rFonts w:ascii="Arial" w:hAnsi="Arial" w:cs="Arial"/>
          <w:sz w:val="20"/>
          <w:lang w:val="nl-NL"/>
        </w:rPr>
        <w:t xml:space="preserve">% </w:t>
      </w:r>
      <w:r w:rsidR="00292D6D" w:rsidRPr="00E74EE8">
        <w:rPr>
          <w:rFonts w:ascii="Arial" w:hAnsi="Arial" w:cs="Arial"/>
          <w:sz w:val="20"/>
          <w:lang w:val="nl-NL"/>
        </w:rPr>
        <w:t xml:space="preserve">van de </w:t>
      </w:r>
      <w:r w:rsidR="00F34471">
        <w:rPr>
          <w:rFonts w:ascii="Arial" w:hAnsi="Arial" w:cs="Arial"/>
          <w:sz w:val="20"/>
          <w:lang w:val="nl-NL"/>
        </w:rPr>
        <w:t xml:space="preserve">aangekochte </w:t>
      </w:r>
      <w:r w:rsidR="00292D6D" w:rsidRPr="00E74EE8">
        <w:rPr>
          <w:rFonts w:ascii="Arial" w:hAnsi="Arial" w:cs="Arial"/>
          <w:sz w:val="20"/>
          <w:lang w:val="nl-NL"/>
        </w:rPr>
        <w:t>melk</w:t>
      </w:r>
      <w:r>
        <w:rPr>
          <w:rFonts w:ascii="Arial" w:hAnsi="Arial" w:cs="Arial"/>
          <w:sz w:val="20"/>
          <w:lang w:val="nl-NL"/>
        </w:rPr>
        <w:t xml:space="preserve"> </w:t>
      </w:r>
      <w:r w:rsidR="00947E85">
        <w:rPr>
          <w:rFonts w:ascii="Arial" w:hAnsi="Arial" w:cs="Arial"/>
          <w:sz w:val="20"/>
          <w:lang w:val="nl-NL"/>
        </w:rPr>
        <w:t xml:space="preserve">wordt </w:t>
      </w:r>
      <w:r w:rsidR="00F34471">
        <w:rPr>
          <w:rFonts w:ascii="Arial" w:hAnsi="Arial" w:cs="Arial"/>
          <w:sz w:val="20"/>
          <w:lang w:val="nl-NL"/>
        </w:rPr>
        <w:t>ge</w:t>
      </w:r>
      <w:r w:rsidR="00947E85">
        <w:rPr>
          <w:rFonts w:ascii="Arial" w:hAnsi="Arial" w:cs="Arial"/>
          <w:sz w:val="20"/>
          <w:lang w:val="nl-NL"/>
        </w:rPr>
        <w:t>kocht in</w:t>
      </w:r>
      <w:r w:rsidR="00292D6D" w:rsidRPr="0035388C">
        <w:rPr>
          <w:rFonts w:ascii="Arial" w:hAnsi="Arial" w:cs="Arial"/>
          <w:color w:val="FF6600"/>
          <w:sz w:val="20"/>
          <w:lang w:val="nl-NL"/>
        </w:rPr>
        <w:t xml:space="preserve"> </w:t>
      </w:r>
      <w:r w:rsidR="00292D6D" w:rsidRPr="00E74EE8">
        <w:rPr>
          <w:rFonts w:ascii="Arial" w:hAnsi="Arial" w:cs="Arial"/>
          <w:sz w:val="20"/>
          <w:lang w:val="nl-NL"/>
        </w:rPr>
        <w:t>liter</w:t>
      </w:r>
      <w:r w:rsidR="00947E85">
        <w:rPr>
          <w:rFonts w:ascii="Arial" w:hAnsi="Arial" w:cs="Arial"/>
          <w:sz w:val="20"/>
          <w:lang w:val="nl-NL"/>
        </w:rPr>
        <w:t xml:space="preserve">verpakkingen. </w:t>
      </w:r>
      <w:r w:rsidR="004F24AD">
        <w:rPr>
          <w:rFonts w:ascii="Arial" w:hAnsi="Arial" w:cs="Arial"/>
          <w:sz w:val="20"/>
          <w:lang w:val="nl-NL"/>
        </w:rPr>
        <w:t xml:space="preserve">Het aandeel van de </w:t>
      </w:r>
      <w:r w:rsidR="00582852">
        <w:rPr>
          <w:rFonts w:ascii="Arial" w:hAnsi="Arial" w:cs="Arial"/>
          <w:sz w:val="20"/>
          <w:lang w:val="nl-NL"/>
        </w:rPr>
        <w:t>hal</w:t>
      </w:r>
      <w:r w:rsidR="00AE61C1">
        <w:rPr>
          <w:rFonts w:ascii="Arial" w:hAnsi="Arial" w:cs="Arial"/>
          <w:sz w:val="20"/>
          <w:lang w:val="nl-NL"/>
        </w:rPr>
        <w:t>f</w:t>
      </w:r>
      <w:r w:rsidR="00582852">
        <w:rPr>
          <w:rFonts w:ascii="Arial" w:hAnsi="Arial" w:cs="Arial"/>
          <w:sz w:val="20"/>
          <w:lang w:val="nl-NL"/>
        </w:rPr>
        <w:t>literverpakking</w:t>
      </w:r>
      <w:r w:rsidR="00AE61C1">
        <w:rPr>
          <w:rFonts w:ascii="Arial" w:hAnsi="Arial" w:cs="Arial"/>
          <w:sz w:val="20"/>
          <w:lang w:val="nl-NL"/>
        </w:rPr>
        <w:t>en</w:t>
      </w:r>
      <w:r w:rsidR="00582852">
        <w:rPr>
          <w:rFonts w:ascii="Arial" w:hAnsi="Arial" w:cs="Arial"/>
          <w:sz w:val="20"/>
          <w:lang w:val="nl-NL"/>
        </w:rPr>
        <w:t xml:space="preserve"> </w:t>
      </w:r>
      <w:r w:rsidR="00F34471">
        <w:rPr>
          <w:rFonts w:ascii="Arial" w:hAnsi="Arial" w:cs="Arial"/>
          <w:sz w:val="20"/>
          <w:lang w:val="nl-NL"/>
        </w:rPr>
        <w:t>neemt</w:t>
      </w:r>
      <w:r w:rsidR="004F24AD">
        <w:rPr>
          <w:rFonts w:ascii="Arial" w:hAnsi="Arial" w:cs="Arial"/>
          <w:sz w:val="20"/>
          <w:lang w:val="nl-NL"/>
        </w:rPr>
        <w:t xml:space="preserve"> de laatste jaren wel </w:t>
      </w:r>
      <w:r w:rsidR="00F34471">
        <w:rPr>
          <w:rFonts w:ascii="Arial" w:hAnsi="Arial" w:cs="Arial"/>
          <w:sz w:val="20"/>
          <w:lang w:val="nl-NL"/>
        </w:rPr>
        <w:t>toe</w:t>
      </w:r>
      <w:r w:rsidR="009B0EF5">
        <w:rPr>
          <w:rFonts w:ascii="Arial" w:hAnsi="Arial" w:cs="Arial"/>
          <w:sz w:val="20"/>
          <w:lang w:val="nl-NL"/>
        </w:rPr>
        <w:t>, namelijk</w:t>
      </w:r>
      <w:r w:rsidR="004F24AD">
        <w:rPr>
          <w:rFonts w:ascii="Arial" w:hAnsi="Arial" w:cs="Arial"/>
          <w:sz w:val="20"/>
          <w:lang w:val="nl-NL"/>
        </w:rPr>
        <w:t xml:space="preserve"> </w:t>
      </w:r>
      <w:r w:rsidR="009B0EF5">
        <w:rPr>
          <w:rFonts w:ascii="Arial" w:hAnsi="Arial" w:cs="Arial"/>
          <w:sz w:val="20"/>
          <w:lang w:val="nl-NL"/>
        </w:rPr>
        <w:t>v</w:t>
      </w:r>
      <w:r w:rsidR="00582852">
        <w:rPr>
          <w:rFonts w:ascii="Arial" w:hAnsi="Arial" w:cs="Arial"/>
          <w:sz w:val="20"/>
          <w:lang w:val="nl-NL"/>
        </w:rPr>
        <w:t xml:space="preserve">an 5,5% in 2008 naar </w:t>
      </w:r>
      <w:r w:rsidR="001F3D57">
        <w:rPr>
          <w:rFonts w:ascii="Arial" w:hAnsi="Arial" w:cs="Arial"/>
          <w:sz w:val="20"/>
          <w:lang w:val="nl-NL"/>
        </w:rPr>
        <w:t>8,5</w:t>
      </w:r>
      <w:r w:rsidR="0021650A">
        <w:rPr>
          <w:rFonts w:ascii="Arial" w:hAnsi="Arial" w:cs="Arial"/>
          <w:sz w:val="20"/>
          <w:lang w:val="nl-NL"/>
        </w:rPr>
        <w:t xml:space="preserve">% </w:t>
      </w:r>
      <w:r w:rsidR="001F3D57">
        <w:rPr>
          <w:rFonts w:ascii="Arial" w:hAnsi="Arial" w:cs="Arial"/>
          <w:sz w:val="20"/>
          <w:lang w:val="nl-NL"/>
        </w:rPr>
        <w:t>in 2016</w:t>
      </w:r>
      <w:r w:rsidR="00582852">
        <w:rPr>
          <w:rFonts w:ascii="Arial" w:hAnsi="Arial" w:cs="Arial"/>
          <w:sz w:val="20"/>
          <w:lang w:val="nl-NL"/>
        </w:rPr>
        <w:t xml:space="preserve">. </w:t>
      </w:r>
      <w:r w:rsidR="00292D6D" w:rsidRPr="00E40AA2">
        <w:rPr>
          <w:rFonts w:ascii="Arial" w:hAnsi="Arial" w:cs="Arial"/>
          <w:sz w:val="20"/>
          <w:lang w:val="nl-NL"/>
        </w:rPr>
        <w:t xml:space="preserve">De brikverpakking </w:t>
      </w:r>
      <w:r w:rsidR="00947E85">
        <w:rPr>
          <w:rFonts w:ascii="Arial" w:hAnsi="Arial" w:cs="Arial"/>
          <w:sz w:val="20"/>
          <w:lang w:val="nl-NL"/>
        </w:rPr>
        <w:t>is</w:t>
      </w:r>
      <w:r w:rsidR="00292D6D" w:rsidRPr="00E40AA2">
        <w:rPr>
          <w:rFonts w:ascii="Arial" w:hAnsi="Arial" w:cs="Arial"/>
          <w:sz w:val="20"/>
          <w:lang w:val="nl-NL"/>
        </w:rPr>
        <w:t xml:space="preserve"> met </w:t>
      </w:r>
      <w:r w:rsidR="00622233">
        <w:rPr>
          <w:rFonts w:ascii="Arial" w:hAnsi="Arial" w:cs="Arial"/>
          <w:sz w:val="20"/>
          <w:lang w:val="nl-NL"/>
        </w:rPr>
        <w:t>7</w:t>
      </w:r>
      <w:r w:rsidR="00B63C23">
        <w:rPr>
          <w:rFonts w:ascii="Arial" w:hAnsi="Arial" w:cs="Arial"/>
          <w:sz w:val="20"/>
          <w:lang w:val="nl-NL"/>
        </w:rPr>
        <w:t>5</w:t>
      </w:r>
      <w:r w:rsidR="00891DEB" w:rsidRPr="00E40AA2">
        <w:rPr>
          <w:rFonts w:ascii="Arial" w:hAnsi="Arial" w:cs="Arial"/>
          <w:sz w:val="20"/>
          <w:lang w:val="nl-NL"/>
        </w:rPr>
        <w:t xml:space="preserve">% van het melkvolume </w:t>
      </w:r>
      <w:r w:rsidR="00292D6D" w:rsidRPr="00E40AA2">
        <w:rPr>
          <w:rFonts w:ascii="Arial" w:hAnsi="Arial" w:cs="Arial"/>
          <w:sz w:val="20"/>
          <w:lang w:val="nl-NL"/>
        </w:rPr>
        <w:t>de belangrijkste verpakkingsvorm</w:t>
      </w:r>
      <w:r w:rsidR="00947E85">
        <w:rPr>
          <w:rFonts w:ascii="Arial" w:hAnsi="Arial" w:cs="Arial"/>
          <w:sz w:val="20"/>
          <w:lang w:val="nl-NL"/>
        </w:rPr>
        <w:t>. D</w:t>
      </w:r>
      <w:r w:rsidR="00292D6D" w:rsidRPr="00E40AA2">
        <w:rPr>
          <w:rFonts w:ascii="Arial" w:hAnsi="Arial" w:cs="Arial"/>
          <w:sz w:val="20"/>
          <w:lang w:val="nl-NL"/>
        </w:rPr>
        <w:t>e plasti</w:t>
      </w:r>
      <w:r w:rsidR="009B6E92">
        <w:rPr>
          <w:rFonts w:ascii="Arial" w:hAnsi="Arial" w:cs="Arial"/>
          <w:sz w:val="20"/>
          <w:lang w:val="nl-NL"/>
        </w:rPr>
        <w:t>c</w:t>
      </w:r>
      <w:r w:rsidR="00292D6D" w:rsidRPr="00E40AA2">
        <w:rPr>
          <w:rFonts w:ascii="Arial" w:hAnsi="Arial" w:cs="Arial"/>
          <w:sz w:val="20"/>
          <w:lang w:val="nl-NL"/>
        </w:rPr>
        <w:t xml:space="preserve"> melkfles </w:t>
      </w:r>
      <w:r w:rsidR="00947E85">
        <w:rPr>
          <w:rFonts w:ascii="Arial" w:hAnsi="Arial" w:cs="Arial"/>
          <w:sz w:val="20"/>
          <w:lang w:val="nl-NL"/>
        </w:rPr>
        <w:t xml:space="preserve">zag haar </w:t>
      </w:r>
      <w:r w:rsidR="00292D6D" w:rsidRPr="00E40AA2">
        <w:rPr>
          <w:rFonts w:ascii="Arial" w:hAnsi="Arial" w:cs="Arial"/>
          <w:sz w:val="20"/>
          <w:lang w:val="nl-NL"/>
        </w:rPr>
        <w:t xml:space="preserve">volumeaandeel </w:t>
      </w:r>
      <w:r w:rsidR="00947E85">
        <w:rPr>
          <w:rFonts w:ascii="Arial" w:hAnsi="Arial" w:cs="Arial"/>
          <w:sz w:val="20"/>
          <w:lang w:val="nl-NL"/>
        </w:rPr>
        <w:t xml:space="preserve">groeien van 16% </w:t>
      </w:r>
      <w:r w:rsidR="00292D6D" w:rsidRPr="00E40AA2">
        <w:rPr>
          <w:rFonts w:ascii="Arial" w:hAnsi="Arial" w:cs="Arial"/>
          <w:sz w:val="20"/>
          <w:lang w:val="nl-NL"/>
        </w:rPr>
        <w:t xml:space="preserve">in 2000 naar </w:t>
      </w:r>
      <w:r w:rsidR="004F24AD">
        <w:rPr>
          <w:rFonts w:ascii="Arial" w:hAnsi="Arial" w:cs="Arial"/>
          <w:sz w:val="20"/>
          <w:lang w:val="nl-NL"/>
        </w:rPr>
        <w:t>2</w:t>
      </w:r>
      <w:r w:rsidR="00AE61C1">
        <w:rPr>
          <w:rFonts w:ascii="Arial" w:hAnsi="Arial" w:cs="Arial"/>
          <w:sz w:val="20"/>
          <w:lang w:val="nl-NL"/>
        </w:rPr>
        <w:t>6</w:t>
      </w:r>
      <w:r w:rsidR="00292D6D" w:rsidRPr="00E40AA2">
        <w:rPr>
          <w:rFonts w:ascii="Arial" w:hAnsi="Arial" w:cs="Arial"/>
          <w:sz w:val="20"/>
          <w:lang w:val="nl-NL"/>
        </w:rPr>
        <w:t>%</w:t>
      </w:r>
      <w:r w:rsidR="00AE61C1">
        <w:rPr>
          <w:rFonts w:ascii="Arial" w:hAnsi="Arial" w:cs="Arial"/>
          <w:sz w:val="20"/>
          <w:lang w:val="nl-NL"/>
        </w:rPr>
        <w:t xml:space="preserve"> in 2008 maar is</w:t>
      </w:r>
      <w:r w:rsidR="00B63C23">
        <w:rPr>
          <w:rFonts w:ascii="Arial" w:hAnsi="Arial" w:cs="Arial"/>
          <w:sz w:val="20"/>
          <w:lang w:val="nl-NL"/>
        </w:rPr>
        <w:t xml:space="preserve"> sindsdien teruggevallen naar 23</w:t>
      </w:r>
      <w:r w:rsidR="00AE61C1">
        <w:rPr>
          <w:rFonts w:ascii="Arial" w:hAnsi="Arial" w:cs="Arial"/>
          <w:sz w:val="20"/>
          <w:lang w:val="nl-NL"/>
        </w:rPr>
        <w:t>%</w:t>
      </w:r>
      <w:r w:rsidR="00292D6D" w:rsidRPr="00E40AA2">
        <w:rPr>
          <w:rFonts w:ascii="Arial" w:hAnsi="Arial" w:cs="Arial"/>
          <w:sz w:val="20"/>
          <w:lang w:val="nl-NL"/>
        </w:rPr>
        <w:t xml:space="preserve">. </w:t>
      </w:r>
      <w:r w:rsidR="00B106FE">
        <w:rPr>
          <w:rFonts w:ascii="Arial" w:hAnsi="Arial" w:cs="Arial"/>
          <w:sz w:val="20"/>
          <w:lang w:val="nl-NL"/>
        </w:rPr>
        <w:t>D</w:t>
      </w:r>
      <w:r w:rsidR="00292D6D" w:rsidRPr="00E40AA2">
        <w:rPr>
          <w:rFonts w:ascii="Arial" w:hAnsi="Arial" w:cs="Arial"/>
          <w:sz w:val="20"/>
          <w:lang w:val="nl-NL"/>
        </w:rPr>
        <w:t>e glazen retourfles</w:t>
      </w:r>
      <w:r w:rsidR="00B106FE">
        <w:rPr>
          <w:rFonts w:ascii="Arial" w:hAnsi="Arial" w:cs="Arial"/>
          <w:sz w:val="20"/>
          <w:lang w:val="nl-NL"/>
        </w:rPr>
        <w:t xml:space="preserve"> zag haar </w:t>
      </w:r>
      <w:r w:rsidR="00292D6D" w:rsidRPr="00E40AA2">
        <w:rPr>
          <w:rFonts w:ascii="Arial" w:hAnsi="Arial" w:cs="Arial"/>
          <w:sz w:val="20"/>
          <w:lang w:val="nl-NL"/>
        </w:rPr>
        <w:t xml:space="preserve">volumeaandeel </w:t>
      </w:r>
      <w:r w:rsidR="00B106FE">
        <w:rPr>
          <w:rFonts w:ascii="Arial" w:hAnsi="Arial" w:cs="Arial"/>
          <w:sz w:val="20"/>
          <w:lang w:val="nl-NL"/>
        </w:rPr>
        <w:t xml:space="preserve">krimpen </w:t>
      </w:r>
      <w:r w:rsidR="007E21C1">
        <w:rPr>
          <w:rFonts w:ascii="Arial" w:hAnsi="Arial" w:cs="Arial"/>
          <w:sz w:val="20"/>
          <w:lang w:val="nl-NL"/>
        </w:rPr>
        <w:t>van</w:t>
      </w:r>
      <w:r w:rsidR="00292D6D" w:rsidRPr="00E40AA2">
        <w:rPr>
          <w:rFonts w:ascii="Arial" w:hAnsi="Arial" w:cs="Arial"/>
          <w:sz w:val="20"/>
          <w:lang w:val="nl-NL"/>
        </w:rPr>
        <w:t xml:space="preserve"> 6% in 2000 naar </w:t>
      </w:r>
      <w:r w:rsidR="00E5128A">
        <w:rPr>
          <w:rFonts w:ascii="Arial" w:hAnsi="Arial" w:cs="Arial"/>
          <w:sz w:val="20"/>
          <w:lang w:val="nl-NL"/>
        </w:rPr>
        <w:t>minder dan</w:t>
      </w:r>
      <w:r w:rsidR="0021650A">
        <w:rPr>
          <w:rFonts w:ascii="Arial" w:hAnsi="Arial" w:cs="Arial"/>
          <w:sz w:val="20"/>
          <w:lang w:val="nl-NL"/>
        </w:rPr>
        <w:t xml:space="preserve"> </w:t>
      </w:r>
      <w:r w:rsidR="004F24AD">
        <w:rPr>
          <w:rFonts w:ascii="Arial" w:hAnsi="Arial" w:cs="Arial"/>
          <w:sz w:val="20"/>
          <w:lang w:val="nl-NL"/>
        </w:rPr>
        <w:t>2</w:t>
      </w:r>
      <w:r w:rsidR="00292D6D" w:rsidRPr="00E40AA2">
        <w:rPr>
          <w:rFonts w:ascii="Arial" w:hAnsi="Arial" w:cs="Arial"/>
          <w:sz w:val="20"/>
          <w:lang w:val="nl-NL"/>
        </w:rPr>
        <w:t xml:space="preserve">% </w:t>
      </w:r>
      <w:r w:rsidR="004F24AD">
        <w:rPr>
          <w:rFonts w:ascii="Arial" w:hAnsi="Arial" w:cs="Arial"/>
          <w:sz w:val="20"/>
          <w:lang w:val="nl-NL"/>
        </w:rPr>
        <w:t>vorig jaar</w:t>
      </w:r>
      <w:r w:rsidR="00014510">
        <w:rPr>
          <w:rFonts w:ascii="Arial" w:hAnsi="Arial" w:cs="Arial"/>
          <w:sz w:val="20"/>
          <w:lang w:val="nl-NL"/>
        </w:rPr>
        <w:t>.</w:t>
      </w:r>
      <w:r w:rsidR="00B63C23">
        <w:rPr>
          <w:rFonts w:ascii="Arial" w:hAnsi="Arial" w:cs="Arial"/>
          <w:sz w:val="20"/>
          <w:lang w:val="nl-NL"/>
        </w:rPr>
        <w:t xml:space="preserve"> </w:t>
      </w:r>
    </w:p>
    <w:p w:rsidR="00292D6D" w:rsidRPr="00B63C23" w:rsidRDefault="0006585C" w:rsidP="00B63C23">
      <w:pPr>
        <w:tabs>
          <w:tab w:val="left" w:pos="0"/>
        </w:tabs>
        <w:spacing w:before="360" w:after="120" w:line="264" w:lineRule="auto"/>
        <w:rPr>
          <w:rFonts w:ascii="Arial" w:hAnsi="Arial" w:cs="Arial"/>
          <w:b/>
          <w:sz w:val="20"/>
        </w:rPr>
      </w:pPr>
      <w:r w:rsidRPr="00B63C23">
        <w:rPr>
          <w:rFonts w:ascii="Arial" w:hAnsi="Arial" w:cs="Arial"/>
          <w:b/>
          <w:sz w:val="20"/>
        </w:rPr>
        <w:t>Melk is een supermarktverhaal</w:t>
      </w:r>
    </w:p>
    <w:p w:rsidR="00972592" w:rsidRDefault="0081252F" w:rsidP="00255781">
      <w:pPr>
        <w:pStyle w:val="Plattetekst"/>
        <w:spacing w:line="264" w:lineRule="auto"/>
        <w:jc w:val="left"/>
        <w:rPr>
          <w:rFonts w:ascii="Arial" w:hAnsi="Arial" w:cs="Arial"/>
          <w:sz w:val="20"/>
          <w:lang w:val="nl-NL"/>
        </w:rPr>
      </w:pPr>
      <w:r>
        <w:rPr>
          <w:rFonts w:ascii="Arial" w:hAnsi="Arial" w:cs="Arial"/>
          <w:sz w:val="20"/>
          <w:lang w:val="nl-NL"/>
        </w:rPr>
        <w:t>Er zijn w</w:t>
      </w:r>
      <w:r w:rsidRPr="00972592">
        <w:rPr>
          <w:rFonts w:ascii="Arial" w:hAnsi="Arial" w:cs="Arial"/>
          <w:sz w:val="20"/>
          <w:lang w:val="nl-NL"/>
        </w:rPr>
        <w:t>einig of geen versc</w:t>
      </w:r>
      <w:r>
        <w:rPr>
          <w:rFonts w:ascii="Arial" w:hAnsi="Arial" w:cs="Arial"/>
          <w:sz w:val="20"/>
          <w:lang w:val="nl-NL"/>
        </w:rPr>
        <w:t>h</w:t>
      </w:r>
      <w:r w:rsidRPr="00972592">
        <w:rPr>
          <w:rFonts w:ascii="Arial" w:hAnsi="Arial" w:cs="Arial"/>
          <w:sz w:val="20"/>
          <w:lang w:val="nl-NL"/>
        </w:rPr>
        <w:t>uivingen op vlak van de distributie</w:t>
      </w:r>
      <w:r>
        <w:rPr>
          <w:rFonts w:ascii="Arial" w:hAnsi="Arial" w:cs="Arial"/>
          <w:sz w:val="20"/>
          <w:lang w:val="nl-NL"/>
        </w:rPr>
        <w:t xml:space="preserve">kanalen. </w:t>
      </w:r>
      <w:r w:rsidR="0071685D">
        <w:rPr>
          <w:rFonts w:ascii="Arial" w:hAnsi="Arial" w:cs="Arial"/>
          <w:sz w:val="20"/>
          <w:lang w:val="nl-NL"/>
        </w:rPr>
        <w:t>Melk wordt voor meer dan 94% in de supermarkt gekocht</w:t>
      </w:r>
      <w:r w:rsidR="00B2159D">
        <w:rPr>
          <w:rFonts w:ascii="Arial" w:hAnsi="Arial" w:cs="Arial"/>
          <w:sz w:val="20"/>
          <w:lang w:val="nl-NL"/>
        </w:rPr>
        <w:t xml:space="preserve">. </w:t>
      </w:r>
      <w:r w:rsidR="001A6A7A">
        <w:rPr>
          <w:rFonts w:ascii="Arial" w:hAnsi="Arial" w:cs="Arial"/>
          <w:sz w:val="20"/>
          <w:lang w:val="nl-NL"/>
        </w:rPr>
        <w:t>M</w:t>
      </w:r>
      <w:r>
        <w:rPr>
          <w:rFonts w:ascii="Arial" w:hAnsi="Arial" w:cs="Arial"/>
          <w:sz w:val="20"/>
          <w:lang w:val="nl-NL"/>
        </w:rPr>
        <w:t>arktleider DIS 1</w:t>
      </w:r>
      <w:r w:rsidR="00972592" w:rsidRPr="00972592">
        <w:rPr>
          <w:rFonts w:ascii="Arial" w:hAnsi="Arial" w:cs="Arial"/>
          <w:sz w:val="20"/>
          <w:lang w:val="nl-NL"/>
        </w:rPr>
        <w:t xml:space="preserve"> </w:t>
      </w:r>
      <w:r>
        <w:rPr>
          <w:rFonts w:ascii="Arial" w:hAnsi="Arial" w:cs="Arial"/>
          <w:sz w:val="20"/>
          <w:lang w:val="nl-NL"/>
        </w:rPr>
        <w:t xml:space="preserve">(hypermarkten en grotere supermarkten) </w:t>
      </w:r>
      <w:r w:rsidR="00972592" w:rsidRPr="00972592">
        <w:rPr>
          <w:rFonts w:ascii="Arial" w:hAnsi="Arial" w:cs="Arial"/>
          <w:sz w:val="20"/>
          <w:lang w:val="nl-NL"/>
        </w:rPr>
        <w:t>h</w:t>
      </w:r>
      <w:r w:rsidR="00B63C23">
        <w:rPr>
          <w:rFonts w:ascii="Arial" w:hAnsi="Arial" w:cs="Arial"/>
          <w:sz w:val="20"/>
          <w:lang w:val="nl-NL"/>
        </w:rPr>
        <w:t>eeft nu 47</w:t>
      </w:r>
      <w:r w:rsidR="00972592" w:rsidRPr="00972592">
        <w:rPr>
          <w:rFonts w:ascii="Arial" w:hAnsi="Arial" w:cs="Arial"/>
          <w:sz w:val="20"/>
          <w:lang w:val="nl-NL"/>
        </w:rPr>
        <w:t>% van de melkverkoop in handen. Hard discount is de nummer twee met 38% volumeaandeel</w:t>
      </w:r>
      <w:r w:rsidR="00B63C23">
        <w:rPr>
          <w:rFonts w:ascii="Arial" w:hAnsi="Arial" w:cs="Arial"/>
          <w:sz w:val="20"/>
          <w:lang w:val="nl-NL"/>
        </w:rPr>
        <w:t xml:space="preserve"> en de b</w:t>
      </w:r>
      <w:r w:rsidR="00972592" w:rsidRPr="00972592">
        <w:rPr>
          <w:rFonts w:ascii="Arial" w:hAnsi="Arial" w:cs="Arial"/>
          <w:sz w:val="20"/>
          <w:lang w:val="nl-NL"/>
        </w:rPr>
        <w:t xml:space="preserve">uurtsupermarkt </w:t>
      </w:r>
      <w:r w:rsidR="00F94C84">
        <w:rPr>
          <w:rFonts w:ascii="Arial" w:hAnsi="Arial" w:cs="Arial"/>
          <w:sz w:val="20"/>
          <w:lang w:val="nl-NL"/>
        </w:rPr>
        <w:t xml:space="preserve">volgt als </w:t>
      </w:r>
      <w:r w:rsidR="00B63C23">
        <w:rPr>
          <w:rFonts w:ascii="Arial" w:hAnsi="Arial" w:cs="Arial"/>
          <w:sz w:val="20"/>
          <w:lang w:val="nl-NL"/>
        </w:rPr>
        <w:t>derde met 9%</w:t>
      </w:r>
      <w:r w:rsidR="00972592">
        <w:rPr>
          <w:rFonts w:ascii="Arial" w:hAnsi="Arial" w:cs="Arial"/>
          <w:sz w:val="20"/>
          <w:lang w:val="nl-NL"/>
        </w:rPr>
        <w:t>.</w:t>
      </w:r>
      <w:r w:rsidR="00B63C23" w:rsidRPr="00B63C23">
        <w:rPr>
          <w:rFonts w:ascii="Arial" w:hAnsi="Arial" w:cs="Arial"/>
          <w:sz w:val="20"/>
          <w:lang w:val="nl-NL"/>
        </w:rPr>
        <w:t xml:space="preserve"> </w:t>
      </w:r>
      <w:r>
        <w:rPr>
          <w:rFonts w:ascii="Arial" w:hAnsi="Arial" w:cs="Arial"/>
          <w:sz w:val="20"/>
          <w:lang w:val="nl-NL"/>
        </w:rPr>
        <w:t>Maar liefst 80% van de melk wordt verkocht onder distributiemerk.</w:t>
      </w:r>
    </w:p>
    <w:p w:rsidR="00972592" w:rsidRPr="0006585C" w:rsidRDefault="0081252F" w:rsidP="00B902D0">
      <w:pPr>
        <w:pStyle w:val="Plattetekst"/>
        <w:spacing w:line="264" w:lineRule="auto"/>
        <w:jc w:val="center"/>
        <w:rPr>
          <w:rFonts w:ascii="Arial" w:hAnsi="Arial" w:cs="Arial"/>
          <w:sz w:val="20"/>
          <w:lang w:val="nl-NL"/>
        </w:rPr>
      </w:pPr>
      <w:r>
        <w:rPr>
          <w:rFonts w:ascii="Arial" w:hAnsi="Arial" w:cs="Arial"/>
          <w:noProof/>
          <w:sz w:val="20"/>
          <w:lang w:val="nl-BE" w:eastAsia="nl-BE"/>
        </w:rPr>
        <w:lastRenderedPageBreak/>
        <w:drawing>
          <wp:inline distT="0" distB="0" distL="0" distR="0">
            <wp:extent cx="5486400" cy="320040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2D6D" w:rsidRPr="00B902D0" w:rsidRDefault="00B902D0" w:rsidP="00B902D0">
      <w:pPr>
        <w:pStyle w:val="Plattetekst"/>
        <w:spacing w:line="264" w:lineRule="auto"/>
        <w:ind w:left="426"/>
        <w:jc w:val="left"/>
        <w:rPr>
          <w:rFonts w:ascii="Arial" w:hAnsi="Arial" w:cs="Arial"/>
          <w:i/>
          <w:sz w:val="16"/>
          <w:szCs w:val="16"/>
          <w:lang w:val="nl-NL"/>
        </w:rPr>
      </w:pPr>
      <w:r w:rsidRPr="00B902D0">
        <w:rPr>
          <w:rFonts w:ascii="Arial" w:hAnsi="Arial" w:cs="Arial"/>
          <w:i/>
          <w:sz w:val="16"/>
          <w:szCs w:val="16"/>
          <w:lang w:val="nl-NL"/>
        </w:rPr>
        <w:t>Bron: GfK Belgium</w:t>
      </w:r>
    </w:p>
    <w:p w:rsidR="00307B0D" w:rsidRPr="00307B0D" w:rsidRDefault="00307B0D" w:rsidP="00307B0D">
      <w:pPr>
        <w:tabs>
          <w:tab w:val="left" w:pos="0"/>
        </w:tabs>
        <w:spacing w:before="360" w:after="120" w:line="264" w:lineRule="auto"/>
        <w:rPr>
          <w:rFonts w:ascii="Arial" w:hAnsi="Arial" w:cs="Arial"/>
          <w:b/>
          <w:sz w:val="20"/>
        </w:rPr>
      </w:pPr>
      <w:r w:rsidRPr="00307B0D">
        <w:rPr>
          <w:rFonts w:ascii="Arial" w:hAnsi="Arial" w:cs="Arial"/>
          <w:b/>
          <w:sz w:val="20"/>
        </w:rPr>
        <w:t>Diverse melkmomenten</w:t>
      </w:r>
    </w:p>
    <w:p w:rsidR="00307B0D" w:rsidRPr="00307B0D" w:rsidRDefault="00322EA5" w:rsidP="00307B0D">
      <w:pPr>
        <w:pStyle w:val="Plattetekst"/>
        <w:spacing w:line="264" w:lineRule="auto"/>
        <w:jc w:val="left"/>
        <w:rPr>
          <w:rFonts w:ascii="Arial" w:hAnsi="Arial" w:cs="Arial"/>
          <w:sz w:val="20"/>
          <w:lang w:val="nl-NL"/>
        </w:rPr>
      </w:pPr>
      <w:r>
        <w:rPr>
          <w:rFonts w:ascii="Arial" w:hAnsi="Arial" w:cs="Arial"/>
          <w:sz w:val="20"/>
          <w:lang w:val="nl-NL"/>
        </w:rPr>
        <w:t>G</w:t>
      </w:r>
      <w:r w:rsidR="00307B0D" w:rsidRPr="00307B0D">
        <w:rPr>
          <w:rFonts w:ascii="Arial" w:hAnsi="Arial" w:cs="Arial"/>
          <w:sz w:val="20"/>
          <w:lang w:val="nl-NL"/>
        </w:rPr>
        <w:t>ewone witte melk</w:t>
      </w:r>
      <w:r>
        <w:rPr>
          <w:rFonts w:ascii="Arial" w:hAnsi="Arial" w:cs="Arial"/>
          <w:sz w:val="20"/>
          <w:lang w:val="nl-NL"/>
        </w:rPr>
        <w:t xml:space="preserve"> kent</w:t>
      </w:r>
      <w:r w:rsidR="00307B0D" w:rsidRPr="00307B0D">
        <w:rPr>
          <w:rFonts w:ascii="Arial" w:hAnsi="Arial" w:cs="Arial"/>
          <w:sz w:val="20"/>
          <w:lang w:val="nl-NL"/>
        </w:rPr>
        <w:t xml:space="preserve"> veel gebruikstoepassingen en -momenten. In de eerste plaats is er natuurlijk het drinken van pure witte melk. Bij 25% van de Vlaamse gezinnen wordt er dagelijks witte melk gedronken, bij 18% meerdere keren tot 1 keer per week. De ochtend is hiervoor het moment bij uitstek. Binnen het gezin zijn de jongere kinderen de grootste melkdrinkers. </w:t>
      </w:r>
    </w:p>
    <w:p w:rsidR="00307B0D" w:rsidRPr="00307B0D" w:rsidRDefault="00307B0D" w:rsidP="00307B0D">
      <w:pPr>
        <w:pStyle w:val="Plattetekst"/>
        <w:spacing w:line="264" w:lineRule="auto"/>
        <w:jc w:val="left"/>
        <w:rPr>
          <w:rFonts w:ascii="Arial" w:hAnsi="Arial" w:cs="Arial"/>
          <w:sz w:val="20"/>
          <w:lang w:val="nl-NL"/>
        </w:rPr>
      </w:pPr>
      <w:r w:rsidRPr="00307B0D">
        <w:rPr>
          <w:rFonts w:ascii="Arial" w:hAnsi="Arial" w:cs="Arial"/>
          <w:sz w:val="20"/>
          <w:lang w:val="nl-NL"/>
        </w:rPr>
        <w:t xml:space="preserve">Witte melk wordt daarnaast ook regelmatig gebruikt om zelf chocomelk (en smoothies en </w:t>
      </w:r>
      <w:proofErr w:type="spellStart"/>
      <w:r w:rsidRPr="00307B0D">
        <w:rPr>
          <w:rFonts w:ascii="Arial" w:hAnsi="Arial" w:cs="Arial"/>
          <w:sz w:val="20"/>
          <w:lang w:val="nl-NL"/>
        </w:rPr>
        <w:t>shakes</w:t>
      </w:r>
      <w:proofErr w:type="spellEnd"/>
      <w:r w:rsidRPr="00307B0D">
        <w:rPr>
          <w:rFonts w:ascii="Arial" w:hAnsi="Arial" w:cs="Arial"/>
          <w:sz w:val="20"/>
          <w:lang w:val="nl-NL"/>
        </w:rPr>
        <w:t>) te maken. De frequentie ligt wel een stuk lager dan bij pure melk, maar bij 37% van de Vlaamse gezinnen maakt men toch minstens 1 keer per maand chocomelk. Het zijn opnieuw vooral de kinderen die graag een kop chocomelk lusten. Naast de ochtend is ook de avond een typisch chocomelkmoment.</w:t>
      </w:r>
    </w:p>
    <w:p w:rsidR="00307B0D" w:rsidRPr="00307B0D" w:rsidRDefault="00307B0D" w:rsidP="00307B0D">
      <w:pPr>
        <w:pStyle w:val="Plattetekst"/>
        <w:spacing w:line="264" w:lineRule="auto"/>
        <w:jc w:val="left"/>
        <w:rPr>
          <w:rFonts w:ascii="Arial" w:hAnsi="Arial" w:cs="Arial"/>
          <w:sz w:val="20"/>
          <w:lang w:val="nl-NL"/>
        </w:rPr>
      </w:pPr>
      <w:r w:rsidRPr="00307B0D">
        <w:rPr>
          <w:rFonts w:ascii="Arial" w:hAnsi="Arial" w:cs="Arial"/>
          <w:sz w:val="20"/>
          <w:lang w:val="nl-NL"/>
        </w:rPr>
        <w:t xml:space="preserve">Melk is ook gegeerd als toevoeging aan ontbijtgranen, havermout, koffie …  Ontbijtgranen en/of havermout staan bij 30% van de Vlaamse gezinnen minstens wekelijks op het menu. Dit verbruik situeert zich vooral in de ochtend. Volwassenen grijpen eerder naar havermout, terwijl kinderen </w:t>
      </w:r>
      <w:r w:rsidR="00377C6A">
        <w:rPr>
          <w:rFonts w:ascii="Arial" w:hAnsi="Arial" w:cs="Arial"/>
          <w:sz w:val="20"/>
          <w:lang w:val="nl-NL"/>
        </w:rPr>
        <w:t>vaker</w:t>
      </w:r>
      <w:r w:rsidR="00377C6A" w:rsidRPr="00307B0D">
        <w:rPr>
          <w:rFonts w:ascii="Arial" w:hAnsi="Arial" w:cs="Arial"/>
          <w:sz w:val="20"/>
          <w:lang w:val="nl-NL"/>
        </w:rPr>
        <w:t xml:space="preserve"> </w:t>
      </w:r>
      <w:r w:rsidRPr="00307B0D">
        <w:rPr>
          <w:rFonts w:ascii="Arial" w:hAnsi="Arial" w:cs="Arial"/>
          <w:sz w:val="20"/>
          <w:lang w:val="nl-NL"/>
        </w:rPr>
        <w:t>opteren voor ontbijtgranen. Het koffieverbruik situeert zich vooral bij volwassenen. Meer dan 70% van de volwassenen lust graag een bakje troost, en daar gaat vaak een scheut melk bij. Gemiddeld komen ze aan 3 à 4 koppen per dag. Bij kinderen stijgt het percentage koffiedrinkers vanaf 15 jaar. Van de 15</w:t>
      </w:r>
      <w:r w:rsidR="00377C6A">
        <w:rPr>
          <w:rFonts w:ascii="Arial" w:hAnsi="Arial" w:cs="Arial"/>
          <w:sz w:val="20"/>
          <w:lang w:val="nl-NL"/>
        </w:rPr>
        <w:t xml:space="preserve">- </w:t>
      </w:r>
      <w:r w:rsidRPr="00307B0D">
        <w:rPr>
          <w:rFonts w:ascii="Arial" w:hAnsi="Arial" w:cs="Arial"/>
          <w:sz w:val="20"/>
          <w:lang w:val="nl-NL"/>
        </w:rPr>
        <w:t xml:space="preserve">tot </w:t>
      </w:r>
      <w:r w:rsidR="00377C6A" w:rsidRPr="00307B0D">
        <w:rPr>
          <w:rFonts w:ascii="Arial" w:hAnsi="Arial" w:cs="Arial"/>
          <w:sz w:val="20"/>
          <w:lang w:val="nl-NL"/>
        </w:rPr>
        <w:t>18</w:t>
      </w:r>
      <w:r w:rsidR="00377C6A">
        <w:rPr>
          <w:rFonts w:ascii="Arial" w:hAnsi="Arial" w:cs="Arial"/>
          <w:sz w:val="20"/>
          <w:lang w:val="nl-NL"/>
        </w:rPr>
        <w:t>-</w:t>
      </w:r>
      <w:r w:rsidRPr="00307B0D">
        <w:rPr>
          <w:rFonts w:ascii="Arial" w:hAnsi="Arial" w:cs="Arial"/>
          <w:sz w:val="20"/>
          <w:lang w:val="nl-NL"/>
        </w:rPr>
        <w:t>jarigen drinkt 31% koffie.</w:t>
      </w:r>
    </w:p>
    <w:p w:rsidR="00307B0D" w:rsidRPr="00307B0D" w:rsidRDefault="00307B0D" w:rsidP="00307B0D">
      <w:pPr>
        <w:pStyle w:val="Plattetekst"/>
        <w:spacing w:line="264" w:lineRule="auto"/>
        <w:jc w:val="left"/>
        <w:rPr>
          <w:rFonts w:ascii="Arial" w:hAnsi="Arial" w:cs="Arial"/>
          <w:sz w:val="20"/>
          <w:lang w:val="nl-NL"/>
        </w:rPr>
      </w:pPr>
      <w:r w:rsidRPr="00307B0D">
        <w:rPr>
          <w:rFonts w:ascii="Arial" w:hAnsi="Arial" w:cs="Arial"/>
          <w:sz w:val="20"/>
          <w:lang w:val="nl-NL"/>
        </w:rPr>
        <w:t xml:space="preserve">Last but </w:t>
      </w:r>
      <w:proofErr w:type="spellStart"/>
      <w:r w:rsidRPr="00307B0D">
        <w:rPr>
          <w:rFonts w:ascii="Arial" w:hAnsi="Arial" w:cs="Arial"/>
          <w:sz w:val="20"/>
          <w:lang w:val="nl-NL"/>
        </w:rPr>
        <w:t>not</w:t>
      </w:r>
      <w:proofErr w:type="spellEnd"/>
      <w:r w:rsidRPr="00307B0D">
        <w:rPr>
          <w:rFonts w:ascii="Arial" w:hAnsi="Arial" w:cs="Arial"/>
          <w:sz w:val="20"/>
          <w:lang w:val="nl-NL"/>
        </w:rPr>
        <w:t xml:space="preserve"> </w:t>
      </w:r>
      <w:proofErr w:type="spellStart"/>
      <w:r w:rsidRPr="00307B0D">
        <w:rPr>
          <w:rFonts w:ascii="Arial" w:hAnsi="Arial" w:cs="Arial"/>
          <w:sz w:val="20"/>
          <w:lang w:val="nl-NL"/>
        </w:rPr>
        <w:t>least</w:t>
      </w:r>
      <w:proofErr w:type="spellEnd"/>
      <w:r w:rsidRPr="00307B0D">
        <w:rPr>
          <w:rFonts w:ascii="Arial" w:hAnsi="Arial" w:cs="Arial"/>
          <w:sz w:val="20"/>
          <w:lang w:val="nl-NL"/>
        </w:rPr>
        <w:t xml:space="preserve"> is er nog het gebruik van melk bij het koken of bakken. 65% van de Vlaamse gezinnen verklaart dat ze minstens wekelijks iets koken of bakken met behulp van melk. Doordat het hier vaak over grote hoeveelheden melk per bereiding gaat, levert dit het grootste volume in melkverbruik op. De meest genoemde gerechten waarvoor men melk gebruikt, zijn puree, pannenkoeken, desserts en (</w:t>
      </w:r>
      <w:proofErr w:type="spellStart"/>
      <w:r w:rsidRPr="00307B0D">
        <w:rPr>
          <w:rFonts w:ascii="Arial" w:hAnsi="Arial" w:cs="Arial"/>
          <w:sz w:val="20"/>
          <w:lang w:val="nl-NL"/>
        </w:rPr>
        <w:t>bechamel</w:t>
      </w:r>
      <w:proofErr w:type="spellEnd"/>
      <w:r w:rsidRPr="00307B0D">
        <w:rPr>
          <w:rFonts w:ascii="Arial" w:hAnsi="Arial" w:cs="Arial"/>
          <w:sz w:val="20"/>
          <w:lang w:val="nl-NL"/>
        </w:rPr>
        <w:t>)saus.</w:t>
      </w:r>
    </w:p>
    <w:bookmarkEnd w:id="1"/>
    <w:bookmarkEnd w:id="2"/>
    <w:bookmarkEnd w:id="3"/>
    <w:bookmarkEnd w:id="4"/>
    <w:bookmarkEnd w:id="5"/>
    <w:bookmarkEnd w:id="6"/>
    <w:p w:rsidR="00292D6D" w:rsidRPr="00307B0D" w:rsidRDefault="00307B0D" w:rsidP="00307B0D">
      <w:pPr>
        <w:tabs>
          <w:tab w:val="left" w:pos="0"/>
        </w:tabs>
        <w:spacing w:before="360" w:after="120" w:line="264" w:lineRule="auto"/>
        <w:rPr>
          <w:rFonts w:ascii="Arial" w:hAnsi="Arial" w:cs="Arial"/>
          <w:b/>
          <w:sz w:val="20"/>
        </w:rPr>
      </w:pPr>
      <w:r>
        <w:rPr>
          <w:rFonts w:ascii="Arial" w:hAnsi="Arial" w:cs="Arial"/>
          <w:b/>
          <w:sz w:val="20"/>
        </w:rPr>
        <w:t>Imago melk blijft overwegend positief</w:t>
      </w:r>
    </w:p>
    <w:p w:rsidR="00292D6D" w:rsidRPr="00993001" w:rsidRDefault="00754243" w:rsidP="005B3164">
      <w:pPr>
        <w:pStyle w:val="Plattetekst"/>
        <w:spacing w:line="264" w:lineRule="auto"/>
        <w:jc w:val="left"/>
        <w:rPr>
          <w:rFonts w:ascii="Arial" w:hAnsi="Arial" w:cs="Arial"/>
          <w:sz w:val="20"/>
          <w:lang w:val="nl-NL"/>
        </w:rPr>
      </w:pPr>
      <w:r>
        <w:rPr>
          <w:rFonts w:ascii="Arial" w:hAnsi="Arial" w:cs="Arial"/>
          <w:sz w:val="20"/>
          <w:lang w:val="nl-NL"/>
        </w:rPr>
        <w:t>H</w:t>
      </w:r>
      <w:r w:rsidR="00307B0D" w:rsidRPr="00307B0D">
        <w:rPr>
          <w:rFonts w:ascii="Arial" w:hAnsi="Arial" w:cs="Arial"/>
          <w:sz w:val="20"/>
          <w:lang w:val="nl-NL"/>
        </w:rPr>
        <w:t xml:space="preserve">et algemene imago van melk </w:t>
      </w:r>
      <w:r>
        <w:rPr>
          <w:rFonts w:ascii="Arial" w:hAnsi="Arial" w:cs="Arial"/>
          <w:sz w:val="20"/>
          <w:lang w:val="nl-NL"/>
        </w:rPr>
        <w:t xml:space="preserve">is </w:t>
      </w:r>
      <w:r w:rsidR="00307B0D" w:rsidRPr="00307B0D">
        <w:rPr>
          <w:rFonts w:ascii="Arial" w:hAnsi="Arial" w:cs="Arial"/>
          <w:sz w:val="20"/>
          <w:lang w:val="nl-NL"/>
        </w:rPr>
        <w:t xml:space="preserve">positief. De plaats van melk in een evenwichtige voeding wordt erkend. 69% van Vlaamse gezinnen vindt melk drinken belangrijk omdat melk past in een evenwichtige en gezonde voeding. Melk is in de Vlaamse keuken </w:t>
      </w:r>
      <w:r w:rsidR="00307B0D">
        <w:rPr>
          <w:rFonts w:ascii="Arial" w:hAnsi="Arial" w:cs="Arial"/>
          <w:sz w:val="20"/>
          <w:lang w:val="nl-NL"/>
        </w:rPr>
        <w:t xml:space="preserve">dan ook </w:t>
      </w:r>
      <w:r w:rsidR="00307B0D" w:rsidRPr="00307B0D">
        <w:rPr>
          <w:rFonts w:ascii="Arial" w:hAnsi="Arial" w:cs="Arial"/>
          <w:sz w:val="20"/>
          <w:lang w:val="nl-NL"/>
        </w:rPr>
        <w:t>een haast onmisbaar basisproduct. Het wordt door maar liefst 96% van de Vlaamse gezinnen gekocht en bij 59% wordt het dagelijks gebruikt. Melk hoor je volgens 83% van de Vlamingen altijd in huis te hebben.</w:t>
      </w:r>
    </w:p>
    <w:sectPr w:rsidR="00292D6D" w:rsidRPr="00993001" w:rsidSect="00B106FE">
      <w:footerReference w:type="even"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9B6" w:rsidRDefault="003C79B6">
      <w:r>
        <w:separator/>
      </w:r>
    </w:p>
  </w:endnote>
  <w:endnote w:type="continuationSeparator" w:id="0">
    <w:p w:rsidR="003C79B6" w:rsidRDefault="003C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70" w:rsidRDefault="00EA167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A1670" w:rsidRDefault="00EA167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70" w:rsidRDefault="00EA1670">
    <w:pPr>
      <w:pStyle w:val="Voettekst"/>
      <w:framePr w:wrap="around" w:vAnchor="text" w:hAnchor="margin" w:xAlign="right" w:y="1"/>
      <w:rPr>
        <w:rStyle w:val="Paginanummer"/>
        <w:sz w:val="20"/>
      </w:rPr>
    </w:pPr>
    <w:r>
      <w:rPr>
        <w:rStyle w:val="Paginanummer"/>
        <w:sz w:val="20"/>
      </w:rPr>
      <w:fldChar w:fldCharType="begin"/>
    </w:r>
    <w:r>
      <w:rPr>
        <w:rStyle w:val="Paginanummer"/>
        <w:sz w:val="20"/>
      </w:rPr>
      <w:instrText xml:space="preserve">PAGE  </w:instrText>
    </w:r>
    <w:r>
      <w:rPr>
        <w:rStyle w:val="Paginanummer"/>
        <w:sz w:val="20"/>
      </w:rPr>
      <w:fldChar w:fldCharType="separate"/>
    </w:r>
    <w:r w:rsidR="00867A1A">
      <w:rPr>
        <w:rStyle w:val="Paginanummer"/>
        <w:noProof/>
        <w:sz w:val="20"/>
      </w:rPr>
      <w:t>3</w:t>
    </w:r>
    <w:r>
      <w:rPr>
        <w:rStyle w:val="Paginanummer"/>
        <w:sz w:val="20"/>
      </w:rPr>
      <w:fldChar w:fldCharType="end"/>
    </w:r>
  </w:p>
  <w:p w:rsidR="00EA1670" w:rsidRPr="00EC25B5" w:rsidRDefault="00EA1670" w:rsidP="00EC25B5">
    <w:pPr>
      <w:pStyle w:val="Voettekst"/>
      <w:ind w:right="360"/>
      <w:jc w:val="center"/>
      <w:rPr>
        <w:rFonts w:ascii="Verdana" w:hAnsi="Verdana"/>
        <w:i/>
        <w:sz w:val="16"/>
        <w:szCs w:val="16"/>
      </w:rPr>
    </w:pPr>
    <w:r w:rsidRPr="00EC25B5">
      <w:rPr>
        <w:rFonts w:ascii="Verdana" w:hAnsi="Verdana"/>
        <w:i/>
        <w:sz w:val="16"/>
        <w:szCs w:val="16"/>
      </w:rPr>
      <w:t xml:space="preserve">VLAM, </w:t>
    </w:r>
    <w:r w:rsidR="0081252F">
      <w:rPr>
        <w:rFonts w:ascii="Verdana" w:hAnsi="Verdana"/>
        <w:i/>
        <w:sz w:val="16"/>
        <w:szCs w:val="16"/>
      </w:rPr>
      <w:t>maart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9B6" w:rsidRDefault="003C79B6">
      <w:r>
        <w:separator/>
      </w:r>
    </w:p>
  </w:footnote>
  <w:footnote w:type="continuationSeparator" w:id="0">
    <w:p w:rsidR="003C79B6" w:rsidRDefault="003C7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009EA"/>
    <w:multiLevelType w:val="hybridMultilevel"/>
    <w:tmpl w:val="1F488A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B00365E"/>
    <w:multiLevelType w:val="multilevel"/>
    <w:tmpl w:val="55F61404"/>
    <w:lvl w:ilvl="0">
      <w:start w:val="1"/>
      <w:numFmt w:val="decimal"/>
      <w:lvlText w:val="%1."/>
      <w:lvlJc w:val="left"/>
      <w:pPr>
        <w:tabs>
          <w:tab w:val="num" w:pos="360"/>
        </w:tabs>
        <w:ind w:left="360" w:hanging="360"/>
      </w:pPr>
    </w:lvl>
    <w:lvl w:ilvl="1">
      <w:start w:val="1"/>
      <w:numFmt w:val="decimal"/>
      <w:lvlText w:val="%1.%2."/>
      <w:lvlJc w:val="left"/>
      <w:pPr>
        <w:tabs>
          <w:tab w:val="num" w:pos="360"/>
        </w:tabs>
        <w:ind w:left="357" w:hanging="357"/>
      </w:pPr>
    </w:lvl>
    <w:lvl w:ilvl="2">
      <w:start w:val="1"/>
      <w:numFmt w:val="decimal"/>
      <w:lvlText w:val="%1.%2.%3."/>
      <w:lvlJc w:val="left"/>
      <w:pPr>
        <w:tabs>
          <w:tab w:val="num" w:pos="720"/>
        </w:tabs>
        <w:ind w:left="357" w:hanging="35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B5"/>
    <w:rsid w:val="00011689"/>
    <w:rsid w:val="00014510"/>
    <w:rsid w:val="0002037C"/>
    <w:rsid w:val="000223BC"/>
    <w:rsid w:val="00022F23"/>
    <w:rsid w:val="000236F8"/>
    <w:rsid w:val="00024000"/>
    <w:rsid w:val="000259B3"/>
    <w:rsid w:val="00037A67"/>
    <w:rsid w:val="000456AB"/>
    <w:rsid w:val="00046D59"/>
    <w:rsid w:val="00047BB9"/>
    <w:rsid w:val="00047E39"/>
    <w:rsid w:val="000519F8"/>
    <w:rsid w:val="0006585C"/>
    <w:rsid w:val="00066A1C"/>
    <w:rsid w:val="00084227"/>
    <w:rsid w:val="00085426"/>
    <w:rsid w:val="000968F3"/>
    <w:rsid w:val="000A74BA"/>
    <w:rsid w:val="000B35EC"/>
    <w:rsid w:val="000B3A8B"/>
    <w:rsid w:val="000B6E85"/>
    <w:rsid w:val="000B7329"/>
    <w:rsid w:val="000C042E"/>
    <w:rsid w:val="000C4907"/>
    <w:rsid w:val="000C610A"/>
    <w:rsid w:val="000D45EF"/>
    <w:rsid w:val="000E737A"/>
    <w:rsid w:val="000F4870"/>
    <w:rsid w:val="000F5165"/>
    <w:rsid w:val="000F6CF6"/>
    <w:rsid w:val="00103689"/>
    <w:rsid w:val="00116D18"/>
    <w:rsid w:val="00121331"/>
    <w:rsid w:val="001217B4"/>
    <w:rsid w:val="0012415E"/>
    <w:rsid w:val="0013242C"/>
    <w:rsid w:val="00135202"/>
    <w:rsid w:val="0014046F"/>
    <w:rsid w:val="00141524"/>
    <w:rsid w:val="00151488"/>
    <w:rsid w:val="001530D1"/>
    <w:rsid w:val="00155A7A"/>
    <w:rsid w:val="001616DF"/>
    <w:rsid w:val="00180CC9"/>
    <w:rsid w:val="00180E23"/>
    <w:rsid w:val="001913AE"/>
    <w:rsid w:val="00195C2F"/>
    <w:rsid w:val="001A51ED"/>
    <w:rsid w:val="001A542C"/>
    <w:rsid w:val="001A5CD8"/>
    <w:rsid w:val="001A6A7A"/>
    <w:rsid w:val="001B57BE"/>
    <w:rsid w:val="001B657C"/>
    <w:rsid w:val="001C0E59"/>
    <w:rsid w:val="001C6EAF"/>
    <w:rsid w:val="001C7974"/>
    <w:rsid w:val="001D12F6"/>
    <w:rsid w:val="001D3E44"/>
    <w:rsid w:val="001D7CF3"/>
    <w:rsid w:val="001E3137"/>
    <w:rsid w:val="001E77AB"/>
    <w:rsid w:val="001E7A32"/>
    <w:rsid w:val="001F1ECC"/>
    <w:rsid w:val="001F2DC7"/>
    <w:rsid w:val="001F3D57"/>
    <w:rsid w:val="00207C14"/>
    <w:rsid w:val="00213E46"/>
    <w:rsid w:val="002140E3"/>
    <w:rsid w:val="002143A1"/>
    <w:rsid w:val="0021650A"/>
    <w:rsid w:val="00216C83"/>
    <w:rsid w:val="00222EA8"/>
    <w:rsid w:val="00224CC1"/>
    <w:rsid w:val="0022540D"/>
    <w:rsid w:val="002272A9"/>
    <w:rsid w:val="002307E2"/>
    <w:rsid w:val="0023236D"/>
    <w:rsid w:val="00233C75"/>
    <w:rsid w:val="00234D42"/>
    <w:rsid w:val="0023746B"/>
    <w:rsid w:val="002377A1"/>
    <w:rsid w:val="0025047C"/>
    <w:rsid w:val="00252A36"/>
    <w:rsid w:val="00255781"/>
    <w:rsid w:val="002611FF"/>
    <w:rsid w:val="00264398"/>
    <w:rsid w:val="00266094"/>
    <w:rsid w:val="0027295F"/>
    <w:rsid w:val="00275587"/>
    <w:rsid w:val="00284F8E"/>
    <w:rsid w:val="00285B56"/>
    <w:rsid w:val="00292D6D"/>
    <w:rsid w:val="00292E15"/>
    <w:rsid w:val="00293086"/>
    <w:rsid w:val="00295A30"/>
    <w:rsid w:val="00295AF4"/>
    <w:rsid w:val="002A4BE3"/>
    <w:rsid w:val="002B491D"/>
    <w:rsid w:val="002C275F"/>
    <w:rsid w:val="002C388F"/>
    <w:rsid w:val="002E03B3"/>
    <w:rsid w:val="002E680E"/>
    <w:rsid w:val="00301EF4"/>
    <w:rsid w:val="00307AAB"/>
    <w:rsid w:val="00307B0D"/>
    <w:rsid w:val="00315C5D"/>
    <w:rsid w:val="00317BB2"/>
    <w:rsid w:val="00322EA5"/>
    <w:rsid w:val="00326D36"/>
    <w:rsid w:val="00343A0A"/>
    <w:rsid w:val="00343D0D"/>
    <w:rsid w:val="0034735E"/>
    <w:rsid w:val="0035388C"/>
    <w:rsid w:val="003573DB"/>
    <w:rsid w:val="003648E6"/>
    <w:rsid w:val="003651C8"/>
    <w:rsid w:val="0037395D"/>
    <w:rsid w:val="00377C6A"/>
    <w:rsid w:val="00390E3A"/>
    <w:rsid w:val="00396614"/>
    <w:rsid w:val="00397AC5"/>
    <w:rsid w:val="003C4806"/>
    <w:rsid w:val="003C79B6"/>
    <w:rsid w:val="003D0CAF"/>
    <w:rsid w:val="003D3F7E"/>
    <w:rsid w:val="003E366B"/>
    <w:rsid w:val="003E5240"/>
    <w:rsid w:val="003F0648"/>
    <w:rsid w:val="003F559B"/>
    <w:rsid w:val="004018D9"/>
    <w:rsid w:val="00404816"/>
    <w:rsid w:val="004050C2"/>
    <w:rsid w:val="00413993"/>
    <w:rsid w:val="004224F2"/>
    <w:rsid w:val="00427FA9"/>
    <w:rsid w:val="0043169B"/>
    <w:rsid w:val="00435E10"/>
    <w:rsid w:val="004361FC"/>
    <w:rsid w:val="004374D9"/>
    <w:rsid w:val="00442295"/>
    <w:rsid w:val="0044421F"/>
    <w:rsid w:val="00453395"/>
    <w:rsid w:val="0045459D"/>
    <w:rsid w:val="0045620F"/>
    <w:rsid w:val="004614CF"/>
    <w:rsid w:val="004807DB"/>
    <w:rsid w:val="00481675"/>
    <w:rsid w:val="00482721"/>
    <w:rsid w:val="00495172"/>
    <w:rsid w:val="004A05A7"/>
    <w:rsid w:val="004A6216"/>
    <w:rsid w:val="004C3054"/>
    <w:rsid w:val="004C7840"/>
    <w:rsid w:val="004D0952"/>
    <w:rsid w:val="004D39F7"/>
    <w:rsid w:val="004D61F8"/>
    <w:rsid w:val="004E0EB8"/>
    <w:rsid w:val="004F1D26"/>
    <w:rsid w:val="004F24AD"/>
    <w:rsid w:val="004F347C"/>
    <w:rsid w:val="004F377E"/>
    <w:rsid w:val="004F5356"/>
    <w:rsid w:val="00500BC1"/>
    <w:rsid w:val="005018FE"/>
    <w:rsid w:val="00502198"/>
    <w:rsid w:val="00506978"/>
    <w:rsid w:val="005074C2"/>
    <w:rsid w:val="00514478"/>
    <w:rsid w:val="005253B8"/>
    <w:rsid w:val="00533C5D"/>
    <w:rsid w:val="00536BA6"/>
    <w:rsid w:val="00541C0D"/>
    <w:rsid w:val="00544EA4"/>
    <w:rsid w:val="00550DFF"/>
    <w:rsid w:val="00551ABF"/>
    <w:rsid w:val="00557B75"/>
    <w:rsid w:val="00560C60"/>
    <w:rsid w:val="0056133C"/>
    <w:rsid w:val="0056765F"/>
    <w:rsid w:val="00572E7E"/>
    <w:rsid w:val="005763CA"/>
    <w:rsid w:val="00577337"/>
    <w:rsid w:val="00582852"/>
    <w:rsid w:val="0058597C"/>
    <w:rsid w:val="00587961"/>
    <w:rsid w:val="00595151"/>
    <w:rsid w:val="00595AA9"/>
    <w:rsid w:val="00596F48"/>
    <w:rsid w:val="005A33CE"/>
    <w:rsid w:val="005A4862"/>
    <w:rsid w:val="005B3164"/>
    <w:rsid w:val="005D03A7"/>
    <w:rsid w:val="005D6955"/>
    <w:rsid w:val="005F79F5"/>
    <w:rsid w:val="00606EE0"/>
    <w:rsid w:val="00613700"/>
    <w:rsid w:val="00615ADC"/>
    <w:rsid w:val="00622233"/>
    <w:rsid w:val="00624A47"/>
    <w:rsid w:val="006251C6"/>
    <w:rsid w:val="00632D65"/>
    <w:rsid w:val="00652A84"/>
    <w:rsid w:val="00661C9E"/>
    <w:rsid w:val="00664B83"/>
    <w:rsid w:val="00665D1D"/>
    <w:rsid w:val="00667FE7"/>
    <w:rsid w:val="0067073B"/>
    <w:rsid w:val="006765FD"/>
    <w:rsid w:val="0067758B"/>
    <w:rsid w:val="00686C94"/>
    <w:rsid w:val="00691132"/>
    <w:rsid w:val="00693854"/>
    <w:rsid w:val="006970D7"/>
    <w:rsid w:val="006A07DD"/>
    <w:rsid w:val="006A229F"/>
    <w:rsid w:val="006A7DF2"/>
    <w:rsid w:val="006B05CC"/>
    <w:rsid w:val="006C6CF7"/>
    <w:rsid w:val="006D3C18"/>
    <w:rsid w:val="006D6FB4"/>
    <w:rsid w:val="006E460A"/>
    <w:rsid w:val="00700602"/>
    <w:rsid w:val="00705141"/>
    <w:rsid w:val="00710737"/>
    <w:rsid w:val="007128DF"/>
    <w:rsid w:val="00713F21"/>
    <w:rsid w:val="0071635C"/>
    <w:rsid w:val="0071685D"/>
    <w:rsid w:val="00727A92"/>
    <w:rsid w:val="00734617"/>
    <w:rsid w:val="0073780B"/>
    <w:rsid w:val="00754243"/>
    <w:rsid w:val="00767AFF"/>
    <w:rsid w:val="0077152E"/>
    <w:rsid w:val="00775E73"/>
    <w:rsid w:val="0078067C"/>
    <w:rsid w:val="007844A6"/>
    <w:rsid w:val="007948ED"/>
    <w:rsid w:val="00794B5B"/>
    <w:rsid w:val="007A46B0"/>
    <w:rsid w:val="007B2796"/>
    <w:rsid w:val="007B2C4B"/>
    <w:rsid w:val="007B5BDE"/>
    <w:rsid w:val="007C2AA1"/>
    <w:rsid w:val="007C689F"/>
    <w:rsid w:val="007D23E7"/>
    <w:rsid w:val="007E21C1"/>
    <w:rsid w:val="007E2C2F"/>
    <w:rsid w:val="007F67DF"/>
    <w:rsid w:val="007F6969"/>
    <w:rsid w:val="00800099"/>
    <w:rsid w:val="00802CE3"/>
    <w:rsid w:val="00806F70"/>
    <w:rsid w:val="00807962"/>
    <w:rsid w:val="00807E19"/>
    <w:rsid w:val="0081252F"/>
    <w:rsid w:val="0081632D"/>
    <w:rsid w:val="00821986"/>
    <w:rsid w:val="00827049"/>
    <w:rsid w:val="008346C8"/>
    <w:rsid w:val="008357C8"/>
    <w:rsid w:val="00840762"/>
    <w:rsid w:val="008433EA"/>
    <w:rsid w:val="00844E66"/>
    <w:rsid w:val="00860680"/>
    <w:rsid w:val="00864567"/>
    <w:rsid w:val="00867A1A"/>
    <w:rsid w:val="0087525B"/>
    <w:rsid w:val="008846B1"/>
    <w:rsid w:val="008860B3"/>
    <w:rsid w:val="00891DEB"/>
    <w:rsid w:val="00897266"/>
    <w:rsid w:val="008A1AC6"/>
    <w:rsid w:val="008A6382"/>
    <w:rsid w:val="008A6973"/>
    <w:rsid w:val="008B67CA"/>
    <w:rsid w:val="008C1C2A"/>
    <w:rsid w:val="008C3233"/>
    <w:rsid w:val="008D249D"/>
    <w:rsid w:val="008D76DC"/>
    <w:rsid w:val="008E0FB3"/>
    <w:rsid w:val="008E1164"/>
    <w:rsid w:val="008E586C"/>
    <w:rsid w:val="008F4A33"/>
    <w:rsid w:val="009012B6"/>
    <w:rsid w:val="009129FC"/>
    <w:rsid w:val="00914256"/>
    <w:rsid w:val="00916AF2"/>
    <w:rsid w:val="00922252"/>
    <w:rsid w:val="0092386A"/>
    <w:rsid w:val="00932F77"/>
    <w:rsid w:val="0093795B"/>
    <w:rsid w:val="00946606"/>
    <w:rsid w:val="00947E85"/>
    <w:rsid w:val="0095354E"/>
    <w:rsid w:val="00957013"/>
    <w:rsid w:val="00957AC2"/>
    <w:rsid w:val="00960D47"/>
    <w:rsid w:val="00971401"/>
    <w:rsid w:val="00972592"/>
    <w:rsid w:val="009806DA"/>
    <w:rsid w:val="00983B51"/>
    <w:rsid w:val="00993001"/>
    <w:rsid w:val="00993A65"/>
    <w:rsid w:val="0099569B"/>
    <w:rsid w:val="009A02DB"/>
    <w:rsid w:val="009B0EF5"/>
    <w:rsid w:val="009B2B99"/>
    <w:rsid w:val="009B6E92"/>
    <w:rsid w:val="009C0271"/>
    <w:rsid w:val="009C1296"/>
    <w:rsid w:val="009D43B6"/>
    <w:rsid w:val="009D6EBB"/>
    <w:rsid w:val="009F3C8D"/>
    <w:rsid w:val="009F40F5"/>
    <w:rsid w:val="00A004CF"/>
    <w:rsid w:val="00A028B5"/>
    <w:rsid w:val="00A0771C"/>
    <w:rsid w:val="00A11FD6"/>
    <w:rsid w:val="00A12317"/>
    <w:rsid w:val="00A12FA1"/>
    <w:rsid w:val="00A1548A"/>
    <w:rsid w:val="00A1772B"/>
    <w:rsid w:val="00A201C1"/>
    <w:rsid w:val="00A254FE"/>
    <w:rsid w:val="00A2776F"/>
    <w:rsid w:val="00A47942"/>
    <w:rsid w:val="00A51D7D"/>
    <w:rsid w:val="00A54A01"/>
    <w:rsid w:val="00A60C2F"/>
    <w:rsid w:val="00A729A1"/>
    <w:rsid w:val="00A8084F"/>
    <w:rsid w:val="00A80E43"/>
    <w:rsid w:val="00A82130"/>
    <w:rsid w:val="00A9262A"/>
    <w:rsid w:val="00A941AD"/>
    <w:rsid w:val="00AB0073"/>
    <w:rsid w:val="00AB5021"/>
    <w:rsid w:val="00AB5F3A"/>
    <w:rsid w:val="00AD3C98"/>
    <w:rsid w:val="00AD6CD9"/>
    <w:rsid w:val="00AE189F"/>
    <w:rsid w:val="00AE3056"/>
    <w:rsid w:val="00AE61C1"/>
    <w:rsid w:val="00AF1EF3"/>
    <w:rsid w:val="00AF2036"/>
    <w:rsid w:val="00AF3BDA"/>
    <w:rsid w:val="00AF53DC"/>
    <w:rsid w:val="00AF6423"/>
    <w:rsid w:val="00B07C8C"/>
    <w:rsid w:val="00B106FE"/>
    <w:rsid w:val="00B2159D"/>
    <w:rsid w:val="00B22545"/>
    <w:rsid w:val="00B232E1"/>
    <w:rsid w:val="00B2429B"/>
    <w:rsid w:val="00B26004"/>
    <w:rsid w:val="00B31B7B"/>
    <w:rsid w:val="00B34A50"/>
    <w:rsid w:val="00B36EAF"/>
    <w:rsid w:val="00B379BC"/>
    <w:rsid w:val="00B44DB2"/>
    <w:rsid w:val="00B52C33"/>
    <w:rsid w:val="00B55040"/>
    <w:rsid w:val="00B55D63"/>
    <w:rsid w:val="00B60CE8"/>
    <w:rsid w:val="00B63C23"/>
    <w:rsid w:val="00B6586B"/>
    <w:rsid w:val="00B66CB9"/>
    <w:rsid w:val="00B900AB"/>
    <w:rsid w:val="00B902D0"/>
    <w:rsid w:val="00B94FB8"/>
    <w:rsid w:val="00B96284"/>
    <w:rsid w:val="00BA5154"/>
    <w:rsid w:val="00BB7DBA"/>
    <w:rsid w:val="00BC24AD"/>
    <w:rsid w:val="00BD1286"/>
    <w:rsid w:val="00BD4DFB"/>
    <w:rsid w:val="00BF21D3"/>
    <w:rsid w:val="00BF52BA"/>
    <w:rsid w:val="00BF694F"/>
    <w:rsid w:val="00C16261"/>
    <w:rsid w:val="00C23027"/>
    <w:rsid w:val="00C53CA0"/>
    <w:rsid w:val="00C54392"/>
    <w:rsid w:val="00C67147"/>
    <w:rsid w:val="00C67E8B"/>
    <w:rsid w:val="00C749AA"/>
    <w:rsid w:val="00C76234"/>
    <w:rsid w:val="00C97C02"/>
    <w:rsid w:val="00CA4B82"/>
    <w:rsid w:val="00CA6304"/>
    <w:rsid w:val="00CC11CC"/>
    <w:rsid w:val="00CD590C"/>
    <w:rsid w:val="00CE2BB5"/>
    <w:rsid w:val="00CE6616"/>
    <w:rsid w:val="00CF337C"/>
    <w:rsid w:val="00CF37BA"/>
    <w:rsid w:val="00D00DA0"/>
    <w:rsid w:val="00D0175D"/>
    <w:rsid w:val="00D10302"/>
    <w:rsid w:val="00D15338"/>
    <w:rsid w:val="00D209D2"/>
    <w:rsid w:val="00D27F62"/>
    <w:rsid w:val="00D36EBF"/>
    <w:rsid w:val="00D45273"/>
    <w:rsid w:val="00D50E78"/>
    <w:rsid w:val="00D57A41"/>
    <w:rsid w:val="00D57C16"/>
    <w:rsid w:val="00D6201B"/>
    <w:rsid w:val="00D6540E"/>
    <w:rsid w:val="00D756E6"/>
    <w:rsid w:val="00D777E0"/>
    <w:rsid w:val="00D77E85"/>
    <w:rsid w:val="00D8304E"/>
    <w:rsid w:val="00D83B85"/>
    <w:rsid w:val="00D866C0"/>
    <w:rsid w:val="00D90747"/>
    <w:rsid w:val="00D92151"/>
    <w:rsid w:val="00DA1A3C"/>
    <w:rsid w:val="00DA3BE4"/>
    <w:rsid w:val="00DA5078"/>
    <w:rsid w:val="00DC0BFF"/>
    <w:rsid w:val="00DD09FD"/>
    <w:rsid w:val="00DD42C6"/>
    <w:rsid w:val="00DE300D"/>
    <w:rsid w:val="00DE6C45"/>
    <w:rsid w:val="00DF0AC9"/>
    <w:rsid w:val="00E05DA6"/>
    <w:rsid w:val="00E33D15"/>
    <w:rsid w:val="00E33ED9"/>
    <w:rsid w:val="00E34162"/>
    <w:rsid w:val="00E3565B"/>
    <w:rsid w:val="00E3666E"/>
    <w:rsid w:val="00E40AA2"/>
    <w:rsid w:val="00E44D59"/>
    <w:rsid w:val="00E5128A"/>
    <w:rsid w:val="00E5154B"/>
    <w:rsid w:val="00E5416A"/>
    <w:rsid w:val="00E573FB"/>
    <w:rsid w:val="00E62588"/>
    <w:rsid w:val="00E70B5E"/>
    <w:rsid w:val="00E71875"/>
    <w:rsid w:val="00E72239"/>
    <w:rsid w:val="00E74EE8"/>
    <w:rsid w:val="00E815F5"/>
    <w:rsid w:val="00E85C9B"/>
    <w:rsid w:val="00E95A5F"/>
    <w:rsid w:val="00EA1670"/>
    <w:rsid w:val="00EA3BCF"/>
    <w:rsid w:val="00EB5B7A"/>
    <w:rsid w:val="00EB6DF0"/>
    <w:rsid w:val="00EC0284"/>
    <w:rsid w:val="00EC25B5"/>
    <w:rsid w:val="00ED4334"/>
    <w:rsid w:val="00ED6CBE"/>
    <w:rsid w:val="00EE4EFB"/>
    <w:rsid w:val="00F02BE8"/>
    <w:rsid w:val="00F05939"/>
    <w:rsid w:val="00F0706C"/>
    <w:rsid w:val="00F31DE3"/>
    <w:rsid w:val="00F34471"/>
    <w:rsid w:val="00F41B36"/>
    <w:rsid w:val="00F436F0"/>
    <w:rsid w:val="00F46B1F"/>
    <w:rsid w:val="00F53382"/>
    <w:rsid w:val="00F6013B"/>
    <w:rsid w:val="00F6068C"/>
    <w:rsid w:val="00F83EAA"/>
    <w:rsid w:val="00F92A43"/>
    <w:rsid w:val="00F94C84"/>
    <w:rsid w:val="00FA2AA3"/>
    <w:rsid w:val="00FA388A"/>
    <w:rsid w:val="00FA44A8"/>
    <w:rsid w:val="00FB0E1A"/>
    <w:rsid w:val="00FB2A54"/>
    <w:rsid w:val="00FB3309"/>
    <w:rsid w:val="00FD32D3"/>
    <w:rsid w:val="00FD6CF7"/>
    <w:rsid w:val="00FD7292"/>
    <w:rsid w:val="00FE4081"/>
    <w:rsid w:val="00FE509B"/>
    <w:rsid w:val="00FF04AA"/>
    <w:rsid w:val="00FF41A6"/>
    <w:rsid w:val="00FF7D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CCBE9F-BB4D-44D7-A441-A5409174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67758B"/>
    <w:rPr>
      <w:sz w:val="24"/>
      <w:szCs w:val="24"/>
      <w:lang w:val="nl-NL" w:eastAsia="nl-NL"/>
    </w:rPr>
  </w:style>
  <w:style w:type="paragraph" w:styleId="Kop1">
    <w:name w:val="heading 1"/>
    <w:basedOn w:val="Standaard"/>
    <w:next w:val="Standaard"/>
    <w:qFormat/>
    <w:pPr>
      <w:keepNext/>
      <w:spacing w:before="120" w:after="120" w:line="360" w:lineRule="auto"/>
      <w:jc w:val="center"/>
      <w:outlineLvl w:val="0"/>
    </w:pPr>
    <w:rPr>
      <w:b/>
      <w:sz w:val="40"/>
      <w:szCs w:val="20"/>
      <w:lang w:val="fr-BE"/>
    </w:rPr>
  </w:style>
  <w:style w:type="paragraph" w:styleId="Kop2">
    <w:name w:val="heading 2"/>
    <w:basedOn w:val="Standaard"/>
    <w:next w:val="Standaard"/>
    <w:qFormat/>
    <w:pPr>
      <w:keepNext/>
      <w:tabs>
        <w:tab w:val="left" w:pos="142"/>
      </w:tabs>
      <w:spacing w:before="120" w:after="120"/>
      <w:jc w:val="center"/>
      <w:outlineLvl w:val="1"/>
    </w:pPr>
    <w:rPr>
      <w:rFonts w:ascii="Arial" w:hAnsi="Arial" w:cs="Arial"/>
      <w:b/>
      <w:bCs/>
      <w:sz w:val="20"/>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4">
    <w:name w:val="heading 4"/>
    <w:basedOn w:val="Standaard"/>
    <w:next w:val="Standaard"/>
    <w:qFormat/>
    <w:pPr>
      <w:keepNext/>
      <w:tabs>
        <w:tab w:val="left" w:pos="142"/>
      </w:tabs>
      <w:spacing w:before="120" w:after="120"/>
      <w:outlineLvl w:val="3"/>
    </w:pPr>
    <w:rPr>
      <w:rFonts w:ascii="Arial" w:hAnsi="Arial" w:cs="Arial"/>
      <w:i/>
      <w:iCs/>
      <w:sz w:val="18"/>
      <w:lang w:val="en-GB"/>
    </w:rPr>
  </w:style>
  <w:style w:type="paragraph" w:styleId="Kop5">
    <w:name w:val="heading 5"/>
    <w:basedOn w:val="Standaard"/>
    <w:next w:val="Standaard"/>
    <w:qFormat/>
    <w:pPr>
      <w:keepNext/>
      <w:outlineLvl w:val="4"/>
    </w:pPr>
    <w:rPr>
      <w:rFonts w:ascii="Tahoma" w:hAnsi="Tahoma" w:cs="Tahoma"/>
      <w:b/>
      <w:bCs/>
      <w:color w:val="00334C"/>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before="120" w:after="120" w:line="360" w:lineRule="auto"/>
      <w:jc w:val="both"/>
    </w:pPr>
    <w:rPr>
      <w:szCs w:val="20"/>
      <w:lang w:val="fr-BE"/>
    </w:rPr>
  </w:style>
  <w:style w:type="paragraph" w:styleId="Plattetekst2">
    <w:name w:val="Body Text 2"/>
    <w:basedOn w:val="Standaard"/>
    <w:rPr>
      <w:b/>
      <w:bCs/>
    </w:rPr>
  </w:style>
  <w:style w:type="paragraph" w:styleId="Plattetekst3">
    <w:name w:val="Body Text 3"/>
    <w:basedOn w:val="Standaard"/>
    <w:pPr>
      <w:jc w:val="both"/>
    </w:pPr>
    <w:rPr>
      <w:b/>
      <w:bCs/>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ijschrift">
    <w:name w:val="caption"/>
    <w:basedOn w:val="Standaard"/>
    <w:next w:val="Standaard"/>
    <w:qFormat/>
    <w:pPr>
      <w:spacing w:before="120" w:after="120"/>
    </w:pPr>
    <w:rPr>
      <w:b/>
      <w:bCs/>
      <w:sz w:val="20"/>
      <w:szCs w:val="20"/>
    </w:rPr>
  </w:style>
  <w:style w:type="paragraph" w:styleId="Documentstructuur">
    <w:name w:val="Document Map"/>
    <w:basedOn w:val="Standaard"/>
    <w:semiHidden/>
    <w:pPr>
      <w:shd w:val="clear" w:color="auto" w:fill="000080"/>
    </w:pPr>
    <w:rPr>
      <w:rFonts w:ascii="Tahoma" w:hAnsi="Tahoma" w:cs="Tahoma"/>
    </w:rPr>
  </w:style>
  <w:style w:type="paragraph" w:styleId="Ballontekst">
    <w:name w:val="Balloon Text"/>
    <w:basedOn w:val="Standaard"/>
    <w:semiHidden/>
    <w:rsid w:val="00F43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81674">
      <w:bodyDiv w:val="1"/>
      <w:marLeft w:val="0"/>
      <w:marRight w:val="0"/>
      <w:marTop w:val="0"/>
      <w:marBottom w:val="0"/>
      <w:divBdr>
        <w:top w:val="none" w:sz="0" w:space="0" w:color="auto"/>
        <w:left w:val="none" w:sz="0" w:space="0" w:color="auto"/>
        <w:bottom w:val="none" w:sz="0" w:space="0" w:color="auto"/>
        <w:right w:val="none" w:sz="0" w:space="0" w:color="auto"/>
      </w:divBdr>
      <w:divsChild>
        <w:div w:id="2014334595">
          <w:marLeft w:val="0"/>
          <w:marRight w:val="0"/>
          <w:marTop w:val="0"/>
          <w:marBottom w:val="0"/>
          <w:divBdr>
            <w:top w:val="none" w:sz="0" w:space="0" w:color="auto"/>
            <w:left w:val="none" w:sz="0" w:space="0" w:color="auto"/>
            <w:bottom w:val="none" w:sz="0" w:space="0" w:color="auto"/>
            <w:right w:val="none" w:sz="0" w:space="0" w:color="auto"/>
          </w:divBdr>
        </w:div>
      </w:divsChild>
    </w:div>
    <w:div w:id="1272937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6346">
          <w:marLeft w:val="0"/>
          <w:marRight w:val="0"/>
          <w:marTop w:val="0"/>
          <w:marBottom w:val="0"/>
          <w:divBdr>
            <w:top w:val="none" w:sz="0" w:space="0" w:color="auto"/>
            <w:left w:val="none" w:sz="0" w:space="0" w:color="auto"/>
            <w:bottom w:val="none" w:sz="0" w:space="0" w:color="auto"/>
            <w:right w:val="none" w:sz="0" w:space="0" w:color="auto"/>
          </w:divBdr>
          <w:divsChild>
            <w:div w:id="348219611">
              <w:marLeft w:val="0"/>
              <w:marRight w:val="0"/>
              <w:marTop w:val="0"/>
              <w:marBottom w:val="0"/>
              <w:divBdr>
                <w:top w:val="none" w:sz="0" w:space="0" w:color="auto"/>
                <w:left w:val="none" w:sz="0" w:space="0" w:color="auto"/>
                <w:bottom w:val="none" w:sz="0" w:space="0" w:color="auto"/>
                <w:right w:val="none" w:sz="0" w:space="0" w:color="auto"/>
              </w:divBdr>
            </w:div>
            <w:div w:id="771432879">
              <w:marLeft w:val="0"/>
              <w:marRight w:val="0"/>
              <w:marTop w:val="0"/>
              <w:marBottom w:val="0"/>
              <w:divBdr>
                <w:top w:val="none" w:sz="0" w:space="0" w:color="auto"/>
                <w:left w:val="none" w:sz="0" w:space="0" w:color="auto"/>
                <w:bottom w:val="none" w:sz="0" w:space="0" w:color="auto"/>
                <w:right w:val="none" w:sz="0" w:space="0" w:color="auto"/>
              </w:divBdr>
            </w:div>
            <w:div w:id="932519222">
              <w:marLeft w:val="0"/>
              <w:marRight w:val="0"/>
              <w:marTop w:val="0"/>
              <w:marBottom w:val="0"/>
              <w:divBdr>
                <w:top w:val="none" w:sz="0" w:space="0" w:color="auto"/>
                <w:left w:val="none" w:sz="0" w:space="0" w:color="auto"/>
                <w:bottom w:val="none" w:sz="0" w:space="0" w:color="auto"/>
                <w:right w:val="none" w:sz="0" w:space="0" w:color="auto"/>
              </w:divBdr>
            </w:div>
            <w:div w:id="945389375">
              <w:marLeft w:val="0"/>
              <w:marRight w:val="0"/>
              <w:marTop w:val="0"/>
              <w:marBottom w:val="0"/>
              <w:divBdr>
                <w:top w:val="none" w:sz="0" w:space="0" w:color="auto"/>
                <w:left w:val="none" w:sz="0" w:space="0" w:color="auto"/>
                <w:bottom w:val="none" w:sz="0" w:space="0" w:color="auto"/>
                <w:right w:val="none" w:sz="0" w:space="0" w:color="auto"/>
              </w:divBdr>
            </w:div>
            <w:div w:id="972104215">
              <w:marLeft w:val="0"/>
              <w:marRight w:val="0"/>
              <w:marTop w:val="0"/>
              <w:marBottom w:val="0"/>
              <w:divBdr>
                <w:top w:val="none" w:sz="0" w:space="0" w:color="auto"/>
                <w:left w:val="none" w:sz="0" w:space="0" w:color="auto"/>
                <w:bottom w:val="none" w:sz="0" w:space="0" w:color="auto"/>
                <w:right w:val="none" w:sz="0" w:space="0" w:color="auto"/>
              </w:divBdr>
            </w:div>
            <w:div w:id="1133596035">
              <w:marLeft w:val="0"/>
              <w:marRight w:val="0"/>
              <w:marTop w:val="0"/>
              <w:marBottom w:val="0"/>
              <w:divBdr>
                <w:top w:val="none" w:sz="0" w:space="0" w:color="auto"/>
                <w:left w:val="none" w:sz="0" w:space="0" w:color="auto"/>
                <w:bottom w:val="none" w:sz="0" w:space="0" w:color="auto"/>
                <w:right w:val="none" w:sz="0" w:space="0" w:color="auto"/>
              </w:divBdr>
            </w:div>
            <w:div w:id="15727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1869">
      <w:bodyDiv w:val="1"/>
      <w:marLeft w:val="0"/>
      <w:marRight w:val="0"/>
      <w:marTop w:val="0"/>
      <w:marBottom w:val="0"/>
      <w:divBdr>
        <w:top w:val="none" w:sz="0" w:space="0" w:color="auto"/>
        <w:left w:val="none" w:sz="0" w:space="0" w:color="auto"/>
        <w:bottom w:val="none" w:sz="0" w:space="0" w:color="auto"/>
        <w:right w:val="none" w:sz="0" w:space="0" w:color="auto"/>
      </w:divBdr>
      <w:divsChild>
        <w:div w:id="1670477931">
          <w:marLeft w:val="0"/>
          <w:marRight w:val="0"/>
          <w:marTop w:val="0"/>
          <w:marBottom w:val="0"/>
          <w:divBdr>
            <w:top w:val="none" w:sz="0" w:space="0" w:color="auto"/>
            <w:left w:val="none" w:sz="0" w:space="0" w:color="auto"/>
            <w:bottom w:val="none" w:sz="0" w:space="0" w:color="auto"/>
            <w:right w:val="none" w:sz="0" w:space="0" w:color="auto"/>
          </w:divBdr>
          <w:divsChild>
            <w:div w:id="2755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8439">
      <w:bodyDiv w:val="1"/>
      <w:marLeft w:val="0"/>
      <w:marRight w:val="0"/>
      <w:marTop w:val="0"/>
      <w:marBottom w:val="0"/>
      <w:divBdr>
        <w:top w:val="none" w:sz="0" w:space="0" w:color="auto"/>
        <w:left w:val="none" w:sz="0" w:space="0" w:color="auto"/>
        <w:bottom w:val="none" w:sz="0" w:space="0" w:color="auto"/>
        <w:right w:val="none" w:sz="0" w:space="0" w:color="auto"/>
      </w:divBdr>
      <w:divsChild>
        <w:div w:id="885945829">
          <w:marLeft w:val="0"/>
          <w:marRight w:val="0"/>
          <w:marTop w:val="0"/>
          <w:marBottom w:val="0"/>
          <w:divBdr>
            <w:top w:val="none" w:sz="0" w:space="0" w:color="auto"/>
            <w:left w:val="none" w:sz="0" w:space="0" w:color="auto"/>
            <w:bottom w:val="none" w:sz="0" w:space="0" w:color="auto"/>
            <w:right w:val="none" w:sz="0" w:space="0" w:color="auto"/>
          </w:divBdr>
          <w:divsChild>
            <w:div w:id="489757891">
              <w:marLeft w:val="0"/>
              <w:marRight w:val="0"/>
              <w:marTop w:val="0"/>
              <w:marBottom w:val="0"/>
              <w:divBdr>
                <w:top w:val="none" w:sz="0" w:space="0" w:color="auto"/>
                <w:left w:val="none" w:sz="0" w:space="0" w:color="auto"/>
                <w:bottom w:val="none" w:sz="0" w:space="0" w:color="auto"/>
                <w:right w:val="none" w:sz="0" w:space="0" w:color="auto"/>
              </w:divBdr>
            </w:div>
            <w:div w:id="502741003">
              <w:marLeft w:val="0"/>
              <w:marRight w:val="0"/>
              <w:marTop w:val="0"/>
              <w:marBottom w:val="0"/>
              <w:divBdr>
                <w:top w:val="none" w:sz="0" w:space="0" w:color="auto"/>
                <w:left w:val="none" w:sz="0" w:space="0" w:color="auto"/>
                <w:bottom w:val="none" w:sz="0" w:space="0" w:color="auto"/>
                <w:right w:val="none" w:sz="0" w:space="0" w:color="auto"/>
              </w:divBdr>
            </w:div>
            <w:div w:id="523901059">
              <w:marLeft w:val="0"/>
              <w:marRight w:val="0"/>
              <w:marTop w:val="0"/>
              <w:marBottom w:val="0"/>
              <w:divBdr>
                <w:top w:val="none" w:sz="0" w:space="0" w:color="auto"/>
                <w:left w:val="none" w:sz="0" w:space="0" w:color="auto"/>
                <w:bottom w:val="none" w:sz="0" w:space="0" w:color="auto"/>
                <w:right w:val="none" w:sz="0" w:space="0" w:color="auto"/>
              </w:divBdr>
            </w:div>
            <w:div w:id="1162310357">
              <w:marLeft w:val="0"/>
              <w:marRight w:val="0"/>
              <w:marTop w:val="0"/>
              <w:marBottom w:val="0"/>
              <w:divBdr>
                <w:top w:val="none" w:sz="0" w:space="0" w:color="auto"/>
                <w:left w:val="none" w:sz="0" w:space="0" w:color="auto"/>
                <w:bottom w:val="none" w:sz="0" w:space="0" w:color="auto"/>
                <w:right w:val="none" w:sz="0" w:space="0" w:color="auto"/>
              </w:divBdr>
            </w:div>
            <w:div w:id="1647659591">
              <w:marLeft w:val="0"/>
              <w:marRight w:val="0"/>
              <w:marTop w:val="0"/>
              <w:marBottom w:val="0"/>
              <w:divBdr>
                <w:top w:val="none" w:sz="0" w:space="0" w:color="auto"/>
                <w:left w:val="none" w:sz="0" w:space="0" w:color="auto"/>
                <w:bottom w:val="none" w:sz="0" w:space="0" w:color="auto"/>
                <w:right w:val="none" w:sz="0" w:space="0" w:color="auto"/>
              </w:divBdr>
            </w:div>
            <w:div w:id="1696543213">
              <w:marLeft w:val="0"/>
              <w:marRight w:val="0"/>
              <w:marTop w:val="0"/>
              <w:marBottom w:val="0"/>
              <w:divBdr>
                <w:top w:val="none" w:sz="0" w:space="0" w:color="auto"/>
                <w:left w:val="none" w:sz="0" w:space="0" w:color="auto"/>
                <w:bottom w:val="none" w:sz="0" w:space="0" w:color="auto"/>
                <w:right w:val="none" w:sz="0" w:space="0" w:color="auto"/>
              </w:divBdr>
            </w:div>
            <w:div w:id="1717118036">
              <w:marLeft w:val="0"/>
              <w:marRight w:val="0"/>
              <w:marTop w:val="0"/>
              <w:marBottom w:val="0"/>
              <w:divBdr>
                <w:top w:val="none" w:sz="0" w:space="0" w:color="auto"/>
                <w:left w:val="none" w:sz="0" w:space="0" w:color="auto"/>
                <w:bottom w:val="none" w:sz="0" w:space="0" w:color="auto"/>
                <w:right w:val="none" w:sz="0" w:space="0" w:color="auto"/>
              </w:divBdr>
            </w:div>
            <w:div w:id="1724594778">
              <w:marLeft w:val="0"/>
              <w:marRight w:val="0"/>
              <w:marTop w:val="0"/>
              <w:marBottom w:val="0"/>
              <w:divBdr>
                <w:top w:val="none" w:sz="0" w:space="0" w:color="auto"/>
                <w:left w:val="none" w:sz="0" w:space="0" w:color="auto"/>
                <w:bottom w:val="none" w:sz="0" w:space="0" w:color="auto"/>
                <w:right w:val="none" w:sz="0" w:space="0" w:color="auto"/>
              </w:divBdr>
            </w:div>
            <w:div w:id="1944221650">
              <w:marLeft w:val="0"/>
              <w:marRight w:val="0"/>
              <w:marTop w:val="0"/>
              <w:marBottom w:val="0"/>
              <w:divBdr>
                <w:top w:val="none" w:sz="0" w:space="0" w:color="auto"/>
                <w:left w:val="none" w:sz="0" w:space="0" w:color="auto"/>
                <w:bottom w:val="none" w:sz="0" w:space="0" w:color="auto"/>
                <w:right w:val="none" w:sz="0" w:space="0" w:color="auto"/>
              </w:divBdr>
            </w:div>
            <w:div w:id="19746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t>Thuisverbruik van consumptiemelk in België </a:t>
            </a:r>
          </a:p>
          <a:p>
            <a:pPr>
              <a:defRPr sz="1000" b="1"/>
            </a:pPr>
            <a:r>
              <a:rPr lang="en-US" sz="1000" b="1"/>
              <a:t>(in liter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title>
    <c:autoTitleDeleted val="0"/>
    <c:plotArea>
      <c:layout>
        <c:manualLayout>
          <c:layoutTarget val="inner"/>
          <c:xMode val="edge"/>
          <c:yMode val="edge"/>
          <c:x val="5.999033974919802E-2"/>
          <c:y val="0.18060523684539437"/>
          <c:w val="0.91454669728783899"/>
          <c:h val="0.71998343957005373"/>
        </c:manualLayout>
      </c:layout>
      <c:barChart>
        <c:barDir val="col"/>
        <c:grouping val="clustered"/>
        <c:varyColors val="0"/>
        <c:ser>
          <c:idx val="0"/>
          <c:order val="0"/>
          <c:tx>
            <c:strRef>
              <c:f>Blad1!$A$2</c:f>
              <c:strCache>
                <c:ptCount val="1"/>
                <c:pt idx="0">
                  <c:v>consumptiemelk</c:v>
                </c:pt>
              </c:strCache>
            </c:strRef>
          </c:tx>
          <c:spPr>
            <a:solidFill>
              <a:srgbClr val="FFC00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Blad1!$B$1:$J$1</c:f>
              <c:strCache>
                <c:ptCount val="9"/>
                <c:pt idx="0">
                  <c:v>2008</c:v>
                </c:pt>
                <c:pt idx="1">
                  <c:v>2009</c:v>
                </c:pt>
                <c:pt idx="2">
                  <c:v>2010</c:v>
                </c:pt>
                <c:pt idx="3">
                  <c:v>2011</c:v>
                </c:pt>
                <c:pt idx="4">
                  <c:v>2012</c:v>
                </c:pt>
                <c:pt idx="5">
                  <c:v>2013</c:v>
                </c:pt>
                <c:pt idx="6">
                  <c:v>2014</c:v>
                </c:pt>
                <c:pt idx="7">
                  <c:v>2015</c:v>
                </c:pt>
                <c:pt idx="8">
                  <c:v>2016</c:v>
                </c:pt>
              </c:strCache>
            </c:strRef>
          </c:cat>
          <c:val>
            <c:numRef>
              <c:f>Blad1!$B$2:$J$2</c:f>
              <c:numCache>
                <c:formatCode>General</c:formatCode>
                <c:ptCount val="9"/>
                <c:pt idx="0">
                  <c:v>53.8</c:v>
                </c:pt>
                <c:pt idx="1">
                  <c:v>53.4</c:v>
                </c:pt>
                <c:pt idx="2">
                  <c:v>53.5</c:v>
                </c:pt>
                <c:pt idx="3">
                  <c:v>51.88</c:v>
                </c:pt>
                <c:pt idx="4">
                  <c:v>51.4</c:v>
                </c:pt>
                <c:pt idx="5">
                  <c:v>50.77</c:v>
                </c:pt>
                <c:pt idx="6">
                  <c:v>50.64</c:v>
                </c:pt>
                <c:pt idx="7">
                  <c:v>48.64</c:v>
                </c:pt>
                <c:pt idx="8">
                  <c:v>45.7</c:v>
                </c:pt>
              </c:numCache>
            </c:numRef>
          </c:val>
          <c:extLst>
            <c:ext xmlns:c16="http://schemas.microsoft.com/office/drawing/2014/chart" uri="{C3380CC4-5D6E-409C-BE32-E72D297353CC}">
              <c16:uniqueId val="{00000000-8B14-44D6-A26C-FADDF9FA2875}"/>
            </c:ext>
          </c:extLst>
        </c:ser>
        <c:dLbls>
          <c:showLegendKey val="0"/>
          <c:showVal val="0"/>
          <c:showCatName val="0"/>
          <c:showSerName val="0"/>
          <c:showPercent val="0"/>
          <c:showBubbleSize val="0"/>
        </c:dLbls>
        <c:gapWidth val="50"/>
        <c:axId val="972983040"/>
        <c:axId val="713466336"/>
      </c:barChart>
      <c:catAx>
        <c:axId val="97298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713466336"/>
        <c:crosses val="autoZero"/>
        <c:auto val="1"/>
        <c:lblAlgn val="ctr"/>
        <c:lblOffset val="100"/>
        <c:noMultiLvlLbl val="0"/>
      </c:catAx>
      <c:valAx>
        <c:axId val="71346633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972983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nl-BE" sz="1000" b="1"/>
              <a:t>Volumeaandelen van melk en plantaardige substituten in België</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title>
    <c:autoTitleDeleted val="0"/>
    <c:plotArea>
      <c:layout/>
      <c:barChart>
        <c:barDir val="col"/>
        <c:grouping val="percentStacked"/>
        <c:varyColors val="0"/>
        <c:ser>
          <c:idx val="0"/>
          <c:order val="0"/>
          <c:tx>
            <c:strRef>
              <c:f>Blad1!$A$2</c:f>
              <c:strCache>
                <c:ptCount val="1"/>
                <c:pt idx="0">
                  <c:v>AA melk</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Blad1!$B$1:$D$1</c:f>
              <c:strCache>
                <c:ptCount val="3"/>
                <c:pt idx="0">
                  <c:v>2008</c:v>
                </c:pt>
                <c:pt idx="1">
                  <c:v>2015</c:v>
                </c:pt>
                <c:pt idx="2">
                  <c:v>2016</c:v>
                </c:pt>
              </c:strCache>
            </c:strRef>
          </c:cat>
          <c:val>
            <c:numRef>
              <c:f>Blad1!$B$2:$D$2</c:f>
              <c:numCache>
                <c:formatCode>0.0%</c:formatCode>
                <c:ptCount val="3"/>
                <c:pt idx="0">
                  <c:v>2.4E-2</c:v>
                </c:pt>
                <c:pt idx="1">
                  <c:v>5.5E-2</c:v>
                </c:pt>
                <c:pt idx="2">
                  <c:v>5.0999999999999997E-2</c:v>
                </c:pt>
              </c:numCache>
            </c:numRef>
          </c:val>
          <c:extLst>
            <c:ext xmlns:c16="http://schemas.microsoft.com/office/drawing/2014/chart" uri="{C3380CC4-5D6E-409C-BE32-E72D297353CC}">
              <c16:uniqueId val="{00000000-0C9F-4BDA-9C31-686D8934B903}"/>
            </c:ext>
          </c:extLst>
        </c:ser>
        <c:ser>
          <c:idx val="1"/>
          <c:order val="1"/>
          <c:tx>
            <c:strRef>
              <c:f>Blad1!$A$3</c:f>
              <c:strCache>
                <c:ptCount val="1"/>
                <c:pt idx="0">
                  <c:v>volle melk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Blad1!$B$1:$D$1</c:f>
              <c:strCache>
                <c:ptCount val="3"/>
                <c:pt idx="0">
                  <c:v>2008</c:v>
                </c:pt>
                <c:pt idx="1">
                  <c:v>2015</c:v>
                </c:pt>
                <c:pt idx="2">
                  <c:v>2016</c:v>
                </c:pt>
              </c:strCache>
            </c:strRef>
          </c:cat>
          <c:val>
            <c:numRef>
              <c:f>Blad1!$B$3:$D$3</c:f>
              <c:numCache>
                <c:formatCode>0.0%</c:formatCode>
                <c:ptCount val="3"/>
                <c:pt idx="0">
                  <c:v>0.155</c:v>
                </c:pt>
                <c:pt idx="1">
                  <c:v>0.122</c:v>
                </c:pt>
                <c:pt idx="2">
                  <c:v>0.11700000000000001</c:v>
                </c:pt>
              </c:numCache>
            </c:numRef>
          </c:val>
          <c:extLst>
            <c:ext xmlns:c16="http://schemas.microsoft.com/office/drawing/2014/chart" uri="{C3380CC4-5D6E-409C-BE32-E72D297353CC}">
              <c16:uniqueId val="{00000001-0C9F-4BDA-9C31-686D8934B903}"/>
            </c:ext>
          </c:extLst>
        </c:ser>
        <c:ser>
          <c:idx val="2"/>
          <c:order val="2"/>
          <c:tx>
            <c:strRef>
              <c:f>Blad1!$A$4</c:f>
              <c:strCache>
                <c:ptCount val="1"/>
                <c:pt idx="0">
                  <c:v>halfvolle melk</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Blad1!$B$1:$D$1</c:f>
              <c:strCache>
                <c:ptCount val="3"/>
                <c:pt idx="0">
                  <c:v>2008</c:v>
                </c:pt>
                <c:pt idx="1">
                  <c:v>2015</c:v>
                </c:pt>
                <c:pt idx="2">
                  <c:v>2016</c:v>
                </c:pt>
              </c:strCache>
            </c:strRef>
          </c:cat>
          <c:val>
            <c:numRef>
              <c:f>Blad1!$B$4:$D$4</c:f>
              <c:numCache>
                <c:formatCode>0.0%</c:formatCode>
                <c:ptCount val="3"/>
                <c:pt idx="0">
                  <c:v>0.48199999999999998</c:v>
                </c:pt>
                <c:pt idx="1">
                  <c:v>0.49199999999999999</c:v>
                </c:pt>
                <c:pt idx="2">
                  <c:v>0.495</c:v>
                </c:pt>
              </c:numCache>
            </c:numRef>
          </c:val>
          <c:extLst>
            <c:ext xmlns:c16="http://schemas.microsoft.com/office/drawing/2014/chart" uri="{C3380CC4-5D6E-409C-BE32-E72D297353CC}">
              <c16:uniqueId val="{00000002-0C9F-4BDA-9C31-686D8934B903}"/>
            </c:ext>
          </c:extLst>
        </c:ser>
        <c:ser>
          <c:idx val="3"/>
          <c:order val="3"/>
          <c:tx>
            <c:strRef>
              <c:f>Blad1!$A$5</c:f>
              <c:strCache>
                <c:ptCount val="1"/>
                <c:pt idx="0">
                  <c:v>magere melk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Blad1!$B$1:$D$1</c:f>
              <c:strCache>
                <c:ptCount val="3"/>
                <c:pt idx="0">
                  <c:v>2008</c:v>
                </c:pt>
                <c:pt idx="1">
                  <c:v>2015</c:v>
                </c:pt>
                <c:pt idx="2">
                  <c:v>2016</c:v>
                </c:pt>
              </c:strCache>
            </c:strRef>
          </c:cat>
          <c:val>
            <c:numRef>
              <c:f>Blad1!$B$5:$D$5</c:f>
              <c:numCache>
                <c:formatCode>0.0%</c:formatCode>
                <c:ptCount val="3"/>
                <c:pt idx="0">
                  <c:v>9.6000000000000002E-2</c:v>
                </c:pt>
                <c:pt idx="1">
                  <c:v>9.2999999999999999E-2</c:v>
                </c:pt>
                <c:pt idx="2">
                  <c:v>9.2999999999999999E-2</c:v>
                </c:pt>
              </c:numCache>
            </c:numRef>
          </c:val>
          <c:extLst>
            <c:ext xmlns:c16="http://schemas.microsoft.com/office/drawing/2014/chart" uri="{C3380CC4-5D6E-409C-BE32-E72D297353CC}">
              <c16:uniqueId val="{00000003-0C9F-4BDA-9C31-686D8934B903}"/>
            </c:ext>
          </c:extLst>
        </c:ser>
        <c:ser>
          <c:idx val="4"/>
          <c:order val="4"/>
          <c:tx>
            <c:strRef>
              <c:f>Blad1!$A$6</c:f>
              <c:strCache>
                <c:ptCount val="1"/>
                <c:pt idx="0">
                  <c:v>verrijkte melk</c:v>
                </c:pt>
              </c:strCache>
            </c:strRef>
          </c:tx>
          <c:spPr>
            <a:solidFill>
              <a:schemeClr val="accent2">
                <a:lumMod val="50000"/>
              </a:schemeClr>
            </a:solidFill>
            <a:ln>
              <a:noFill/>
            </a:ln>
            <a:effectLst/>
          </c:spPr>
          <c:invertIfNegative val="0"/>
          <c:cat>
            <c:strRef>
              <c:f>Blad1!$B$1:$D$1</c:f>
              <c:strCache>
                <c:ptCount val="3"/>
                <c:pt idx="0">
                  <c:v>2008</c:v>
                </c:pt>
                <c:pt idx="1">
                  <c:v>2015</c:v>
                </c:pt>
                <c:pt idx="2">
                  <c:v>2016</c:v>
                </c:pt>
              </c:strCache>
            </c:strRef>
          </c:cat>
          <c:val>
            <c:numRef>
              <c:f>Blad1!$B$6:$D$6</c:f>
              <c:numCache>
                <c:formatCode>0.0%</c:formatCode>
                <c:ptCount val="3"/>
                <c:pt idx="0">
                  <c:v>3.3000000000000002E-2</c:v>
                </c:pt>
                <c:pt idx="1">
                  <c:v>1.7999999999999999E-2</c:v>
                </c:pt>
                <c:pt idx="2">
                  <c:v>1.2999999999999999E-2</c:v>
                </c:pt>
              </c:numCache>
            </c:numRef>
          </c:val>
          <c:extLst>
            <c:ext xmlns:c16="http://schemas.microsoft.com/office/drawing/2014/chart" uri="{C3380CC4-5D6E-409C-BE32-E72D297353CC}">
              <c16:uniqueId val="{00000004-0C9F-4BDA-9C31-686D8934B903}"/>
            </c:ext>
          </c:extLst>
        </c:ser>
        <c:ser>
          <c:idx val="5"/>
          <c:order val="5"/>
          <c:tx>
            <c:strRef>
              <c:f>Blad1!$A$7</c:f>
              <c:strCache>
                <c:ptCount val="1"/>
                <c:pt idx="0">
                  <c:v>karnemelk</c:v>
                </c:pt>
              </c:strCache>
            </c:strRef>
          </c:tx>
          <c:spPr>
            <a:solidFill>
              <a:schemeClr val="bg1">
                <a:lumMod val="95000"/>
              </a:schemeClr>
            </a:solidFill>
            <a:ln>
              <a:noFill/>
            </a:ln>
            <a:effectLst/>
          </c:spPr>
          <c:invertIfNegative val="0"/>
          <c:cat>
            <c:strRef>
              <c:f>Blad1!$B$1:$D$1</c:f>
              <c:strCache>
                <c:ptCount val="3"/>
                <c:pt idx="0">
                  <c:v>2008</c:v>
                </c:pt>
                <c:pt idx="1">
                  <c:v>2015</c:v>
                </c:pt>
                <c:pt idx="2">
                  <c:v>2016</c:v>
                </c:pt>
              </c:strCache>
            </c:strRef>
          </c:cat>
          <c:val>
            <c:numRef>
              <c:f>Blad1!$B$7:$D$7</c:f>
              <c:numCache>
                <c:formatCode>0.0%</c:formatCode>
                <c:ptCount val="3"/>
                <c:pt idx="0">
                  <c:v>1.2E-2</c:v>
                </c:pt>
                <c:pt idx="1">
                  <c:v>0.01</c:v>
                </c:pt>
                <c:pt idx="2">
                  <c:v>0.01</c:v>
                </c:pt>
              </c:numCache>
            </c:numRef>
          </c:val>
          <c:extLst>
            <c:ext xmlns:c16="http://schemas.microsoft.com/office/drawing/2014/chart" uri="{C3380CC4-5D6E-409C-BE32-E72D297353CC}">
              <c16:uniqueId val="{00000005-0C9F-4BDA-9C31-686D8934B903}"/>
            </c:ext>
          </c:extLst>
        </c:ser>
        <c:ser>
          <c:idx val="6"/>
          <c:order val="6"/>
          <c:tx>
            <c:strRef>
              <c:f>Blad1!$A$8</c:f>
              <c:strCache>
                <c:ptCount val="1"/>
                <c:pt idx="0">
                  <c:v>gefermenteerde melk</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Blad1!$B$1:$D$1</c:f>
              <c:strCache>
                <c:ptCount val="3"/>
                <c:pt idx="0">
                  <c:v>2008</c:v>
                </c:pt>
                <c:pt idx="1">
                  <c:v>2015</c:v>
                </c:pt>
                <c:pt idx="2">
                  <c:v>2016</c:v>
                </c:pt>
              </c:strCache>
            </c:strRef>
          </c:cat>
          <c:val>
            <c:numRef>
              <c:f>Blad1!$B$8:$D$8</c:f>
              <c:numCache>
                <c:formatCode>0.0%</c:formatCode>
                <c:ptCount val="3"/>
                <c:pt idx="0">
                  <c:v>5.1999999999999998E-2</c:v>
                </c:pt>
                <c:pt idx="1">
                  <c:v>2.5000000000000001E-2</c:v>
                </c:pt>
                <c:pt idx="2">
                  <c:v>2.5000000000000001E-2</c:v>
                </c:pt>
              </c:numCache>
            </c:numRef>
          </c:val>
          <c:extLst>
            <c:ext xmlns:c16="http://schemas.microsoft.com/office/drawing/2014/chart" uri="{C3380CC4-5D6E-409C-BE32-E72D297353CC}">
              <c16:uniqueId val="{00000006-0C9F-4BDA-9C31-686D8934B903}"/>
            </c:ext>
          </c:extLst>
        </c:ser>
        <c:ser>
          <c:idx val="7"/>
          <c:order val="7"/>
          <c:tx>
            <c:strRef>
              <c:f>Blad1!$A$9</c:f>
              <c:strCache>
                <c:ptCount val="1"/>
                <c:pt idx="0">
                  <c:v>drinkyoghurt</c:v>
                </c:pt>
              </c:strCache>
            </c:strRef>
          </c:tx>
          <c:spPr>
            <a:solidFill>
              <a:srgbClr val="0070C0"/>
            </a:solidFill>
            <a:ln>
              <a:noFill/>
            </a:ln>
            <a:effectLst/>
          </c:spPr>
          <c:invertIfNegative val="0"/>
          <c:cat>
            <c:strRef>
              <c:f>Blad1!$B$1:$D$1</c:f>
              <c:strCache>
                <c:ptCount val="3"/>
                <c:pt idx="0">
                  <c:v>2008</c:v>
                </c:pt>
                <c:pt idx="1">
                  <c:v>2015</c:v>
                </c:pt>
                <c:pt idx="2">
                  <c:v>2016</c:v>
                </c:pt>
              </c:strCache>
            </c:strRef>
          </c:cat>
          <c:val>
            <c:numRef>
              <c:f>Blad1!$B$9:$D$9</c:f>
              <c:numCache>
                <c:formatCode>0.0%</c:formatCode>
                <c:ptCount val="3"/>
                <c:pt idx="0">
                  <c:v>1.9E-2</c:v>
                </c:pt>
                <c:pt idx="1">
                  <c:v>1.4999999999999999E-2</c:v>
                </c:pt>
                <c:pt idx="2">
                  <c:v>1.7000000000000001E-2</c:v>
                </c:pt>
              </c:numCache>
            </c:numRef>
          </c:val>
          <c:extLst>
            <c:ext xmlns:c16="http://schemas.microsoft.com/office/drawing/2014/chart" uri="{C3380CC4-5D6E-409C-BE32-E72D297353CC}">
              <c16:uniqueId val="{00000007-0C9F-4BDA-9C31-686D8934B903}"/>
            </c:ext>
          </c:extLst>
        </c:ser>
        <c:ser>
          <c:idx val="8"/>
          <c:order val="8"/>
          <c:tx>
            <c:strRef>
              <c:f>Blad1!$A$10</c:f>
              <c:strCache>
                <c:ptCount val="1"/>
                <c:pt idx="0">
                  <c:v>gearomatiseerde melk</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Blad1!$B$1:$D$1</c:f>
              <c:strCache>
                <c:ptCount val="3"/>
                <c:pt idx="0">
                  <c:v>2008</c:v>
                </c:pt>
                <c:pt idx="1">
                  <c:v>2015</c:v>
                </c:pt>
                <c:pt idx="2">
                  <c:v>2016</c:v>
                </c:pt>
              </c:strCache>
            </c:strRef>
          </c:cat>
          <c:val>
            <c:numRef>
              <c:f>Blad1!$B$10:$D$10</c:f>
              <c:numCache>
                <c:formatCode>0.0%</c:formatCode>
                <c:ptCount val="3"/>
                <c:pt idx="0">
                  <c:v>6.7000000000000004E-2</c:v>
                </c:pt>
                <c:pt idx="1">
                  <c:v>8.5000000000000006E-2</c:v>
                </c:pt>
                <c:pt idx="2">
                  <c:v>9.2999999999999999E-2</c:v>
                </c:pt>
              </c:numCache>
            </c:numRef>
          </c:val>
          <c:extLst>
            <c:ext xmlns:c16="http://schemas.microsoft.com/office/drawing/2014/chart" uri="{C3380CC4-5D6E-409C-BE32-E72D297353CC}">
              <c16:uniqueId val="{00000008-0C9F-4BDA-9C31-686D8934B903}"/>
            </c:ext>
          </c:extLst>
        </c:ser>
        <c:ser>
          <c:idx val="9"/>
          <c:order val="9"/>
          <c:tx>
            <c:strRef>
              <c:f>Blad1!$A$11</c:f>
              <c:strCache>
                <c:ptCount val="1"/>
                <c:pt idx="0">
                  <c:v>overige melk</c:v>
                </c:pt>
              </c:strCache>
            </c:strRef>
          </c:tx>
          <c:spPr>
            <a:solidFill>
              <a:schemeClr val="bg1">
                <a:lumMod val="50000"/>
              </a:schemeClr>
            </a:solidFill>
            <a:ln>
              <a:noFill/>
            </a:ln>
            <a:effectLst/>
          </c:spPr>
          <c:invertIfNegative val="0"/>
          <c:cat>
            <c:strRef>
              <c:f>Blad1!$B$1:$D$1</c:f>
              <c:strCache>
                <c:ptCount val="3"/>
                <c:pt idx="0">
                  <c:v>2008</c:v>
                </c:pt>
                <c:pt idx="1">
                  <c:v>2015</c:v>
                </c:pt>
                <c:pt idx="2">
                  <c:v>2016</c:v>
                </c:pt>
              </c:strCache>
            </c:strRef>
          </c:cat>
          <c:val>
            <c:numRef>
              <c:f>Blad1!$B$11:$D$11</c:f>
              <c:numCache>
                <c:formatCode>0.0%</c:formatCode>
                <c:ptCount val="3"/>
                <c:pt idx="0">
                  <c:v>1E-3</c:v>
                </c:pt>
                <c:pt idx="1">
                  <c:v>8.9999999999999993E-3</c:v>
                </c:pt>
                <c:pt idx="2">
                  <c:v>1.0999999999999999E-2</c:v>
                </c:pt>
              </c:numCache>
            </c:numRef>
          </c:val>
          <c:extLst>
            <c:ext xmlns:c16="http://schemas.microsoft.com/office/drawing/2014/chart" uri="{C3380CC4-5D6E-409C-BE32-E72D297353CC}">
              <c16:uniqueId val="{00000009-0C9F-4BDA-9C31-686D8934B903}"/>
            </c:ext>
          </c:extLst>
        </c:ser>
        <c:ser>
          <c:idx val="10"/>
          <c:order val="10"/>
          <c:tx>
            <c:strRef>
              <c:f>Blad1!$A$12</c:f>
              <c:strCache>
                <c:ptCount val="1"/>
                <c:pt idx="0">
                  <c:v>plantaardige drinks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Blad1!$B$1:$D$1</c:f>
              <c:strCache>
                <c:ptCount val="3"/>
                <c:pt idx="0">
                  <c:v>2008</c:v>
                </c:pt>
                <c:pt idx="1">
                  <c:v>2015</c:v>
                </c:pt>
                <c:pt idx="2">
                  <c:v>2016</c:v>
                </c:pt>
              </c:strCache>
            </c:strRef>
          </c:cat>
          <c:val>
            <c:numRef>
              <c:f>Blad1!$B$12:$D$12</c:f>
              <c:numCache>
                <c:formatCode>0.0%</c:formatCode>
                <c:ptCount val="3"/>
                <c:pt idx="0">
                  <c:v>0.06</c:v>
                </c:pt>
                <c:pt idx="1">
                  <c:v>7.5999999999999998E-2</c:v>
                </c:pt>
                <c:pt idx="2">
                  <c:v>7.4999999999999997E-2</c:v>
                </c:pt>
              </c:numCache>
            </c:numRef>
          </c:val>
          <c:extLst>
            <c:ext xmlns:c16="http://schemas.microsoft.com/office/drawing/2014/chart" uri="{C3380CC4-5D6E-409C-BE32-E72D297353CC}">
              <c16:uniqueId val="{0000000A-0C9F-4BDA-9C31-686D8934B903}"/>
            </c:ext>
          </c:extLst>
        </c:ser>
        <c:dLbls>
          <c:showLegendKey val="0"/>
          <c:showVal val="0"/>
          <c:showCatName val="0"/>
          <c:showSerName val="0"/>
          <c:showPercent val="0"/>
          <c:showBubbleSize val="0"/>
        </c:dLbls>
        <c:gapWidth val="50"/>
        <c:overlap val="100"/>
        <c:axId val="1110964576"/>
        <c:axId val="978681520"/>
      </c:barChart>
      <c:catAx>
        <c:axId val="111096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978681520"/>
        <c:crosses val="autoZero"/>
        <c:auto val="1"/>
        <c:lblAlgn val="ctr"/>
        <c:lblOffset val="100"/>
        <c:noMultiLvlLbl val="0"/>
      </c:catAx>
      <c:valAx>
        <c:axId val="978681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1110964576"/>
        <c:crosses val="autoZero"/>
        <c:crossBetween val="between"/>
      </c:valAx>
      <c:spPr>
        <a:noFill/>
        <a:ln>
          <a:noFill/>
        </a:ln>
        <a:effectLst/>
      </c:spPr>
    </c:plotArea>
    <c:legend>
      <c:legendPos val="r"/>
      <c:layout>
        <c:manualLayout>
          <c:xMode val="edge"/>
          <c:yMode val="edge"/>
          <c:x val="0.7199595363079615"/>
          <c:y val="0.13254843144606926"/>
          <c:w val="0.2661515748031496"/>
          <c:h val="0.7805377452818399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nl-BE" sz="1000" b="1"/>
              <a:t>Aandeel distributiekanalen in thuisverbruik consumptiemelk in België </a:t>
            </a:r>
            <a:br>
              <a:rPr lang="nl-BE" sz="1000" b="1"/>
            </a:br>
            <a:r>
              <a:rPr lang="nl-BE" sz="1000" b="1"/>
              <a:t>(in % van het volume)</a:t>
            </a:r>
          </a:p>
        </c:rich>
      </c:tx>
      <c:overlay val="0"/>
      <c:spPr>
        <a:noFill/>
        <a:ln>
          <a:noFill/>
        </a:ln>
        <a:effectLst/>
      </c:spPr>
      <c:txPr>
        <a:bodyPr rot="0" spcFirstLastPara="1" vertOverflow="ellipsis" vert="horz" wrap="square" anchor="ctr" anchorCtr="1"/>
        <a:lstStyle/>
        <a:p>
          <a:pPr algn="ct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title>
    <c:autoTitleDeleted val="0"/>
    <c:plotArea>
      <c:layout>
        <c:manualLayout>
          <c:layoutTarget val="inner"/>
          <c:xMode val="edge"/>
          <c:yMode val="edge"/>
          <c:x val="8.6238699329250504E-2"/>
          <c:y val="0.17063492063492064"/>
          <c:w val="0.71140602216389626"/>
          <c:h val="0.73527090363704539"/>
        </c:manualLayout>
      </c:layout>
      <c:barChart>
        <c:barDir val="col"/>
        <c:grouping val="percentStacked"/>
        <c:varyColors val="0"/>
        <c:ser>
          <c:idx val="0"/>
          <c:order val="0"/>
          <c:tx>
            <c:strRef>
              <c:f>Blad1!$A$2</c:f>
              <c:strCache>
                <c:ptCount val="1"/>
                <c:pt idx="0">
                  <c:v>DIS 1</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Blad1!$B$1:$J$1</c:f>
              <c:strCache>
                <c:ptCount val="9"/>
                <c:pt idx="0">
                  <c:v>2008</c:v>
                </c:pt>
                <c:pt idx="1">
                  <c:v>2009</c:v>
                </c:pt>
                <c:pt idx="2">
                  <c:v>2010</c:v>
                </c:pt>
                <c:pt idx="3">
                  <c:v>2011</c:v>
                </c:pt>
                <c:pt idx="4">
                  <c:v>2012</c:v>
                </c:pt>
                <c:pt idx="5">
                  <c:v>2013</c:v>
                </c:pt>
                <c:pt idx="6">
                  <c:v>2014</c:v>
                </c:pt>
                <c:pt idx="7">
                  <c:v>2015</c:v>
                </c:pt>
                <c:pt idx="8">
                  <c:v>2016</c:v>
                </c:pt>
              </c:strCache>
            </c:strRef>
          </c:cat>
          <c:val>
            <c:numRef>
              <c:f>Blad1!$B$2:$J$2</c:f>
              <c:numCache>
                <c:formatCode>0.00%</c:formatCode>
                <c:ptCount val="9"/>
                <c:pt idx="0">
                  <c:v>0.45629999999999998</c:v>
                </c:pt>
                <c:pt idx="1">
                  <c:v>0.47099999999999997</c:v>
                </c:pt>
                <c:pt idx="2">
                  <c:v>0.4758</c:v>
                </c:pt>
                <c:pt idx="3">
                  <c:v>0.46739999999999998</c:v>
                </c:pt>
                <c:pt idx="4">
                  <c:v>0.46700000000000003</c:v>
                </c:pt>
                <c:pt idx="5">
                  <c:v>0.46300000000000002</c:v>
                </c:pt>
                <c:pt idx="6">
                  <c:v>0.46860000000000002</c:v>
                </c:pt>
                <c:pt idx="7">
                  <c:v>0.46489999999999998</c:v>
                </c:pt>
                <c:pt idx="8">
                  <c:v>0.47</c:v>
                </c:pt>
              </c:numCache>
            </c:numRef>
          </c:val>
          <c:extLst>
            <c:ext xmlns:c16="http://schemas.microsoft.com/office/drawing/2014/chart" uri="{C3380CC4-5D6E-409C-BE32-E72D297353CC}">
              <c16:uniqueId val="{00000000-EDAE-4325-8E6B-BCE2D0598A56}"/>
            </c:ext>
          </c:extLst>
        </c:ser>
        <c:ser>
          <c:idx val="1"/>
          <c:order val="1"/>
          <c:tx>
            <c:strRef>
              <c:f>Blad1!$A$3</c:f>
              <c:strCache>
                <c:ptCount val="1"/>
                <c:pt idx="0">
                  <c:v>Hard discount</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Blad1!$B$1:$J$1</c:f>
              <c:strCache>
                <c:ptCount val="9"/>
                <c:pt idx="0">
                  <c:v>2008</c:v>
                </c:pt>
                <c:pt idx="1">
                  <c:v>2009</c:v>
                </c:pt>
                <c:pt idx="2">
                  <c:v>2010</c:v>
                </c:pt>
                <c:pt idx="3">
                  <c:v>2011</c:v>
                </c:pt>
                <c:pt idx="4">
                  <c:v>2012</c:v>
                </c:pt>
                <c:pt idx="5">
                  <c:v>2013</c:v>
                </c:pt>
                <c:pt idx="6">
                  <c:v>2014</c:v>
                </c:pt>
                <c:pt idx="7">
                  <c:v>2015</c:v>
                </c:pt>
                <c:pt idx="8">
                  <c:v>2016</c:v>
                </c:pt>
              </c:strCache>
            </c:strRef>
          </c:cat>
          <c:val>
            <c:numRef>
              <c:f>Blad1!$B$3:$J$3</c:f>
              <c:numCache>
                <c:formatCode>0.00%</c:formatCode>
                <c:ptCount val="9"/>
                <c:pt idx="0">
                  <c:v>0.39489999999999997</c:v>
                </c:pt>
                <c:pt idx="1">
                  <c:v>0.38429999999999997</c:v>
                </c:pt>
                <c:pt idx="2">
                  <c:v>0.36770000000000003</c:v>
                </c:pt>
                <c:pt idx="3">
                  <c:v>0.37869999999999998</c:v>
                </c:pt>
                <c:pt idx="4">
                  <c:v>0.37169999999999997</c:v>
                </c:pt>
                <c:pt idx="5">
                  <c:v>0.38269999999999998</c:v>
                </c:pt>
                <c:pt idx="6">
                  <c:v>0.38219999999999998</c:v>
                </c:pt>
                <c:pt idx="7">
                  <c:v>0.38009999999999999</c:v>
                </c:pt>
                <c:pt idx="8">
                  <c:v>0.37980000000000003</c:v>
                </c:pt>
              </c:numCache>
            </c:numRef>
          </c:val>
          <c:extLst>
            <c:ext xmlns:c16="http://schemas.microsoft.com/office/drawing/2014/chart" uri="{C3380CC4-5D6E-409C-BE32-E72D297353CC}">
              <c16:uniqueId val="{00000001-EDAE-4325-8E6B-BCE2D0598A56}"/>
            </c:ext>
          </c:extLst>
        </c:ser>
        <c:ser>
          <c:idx val="2"/>
          <c:order val="2"/>
          <c:tx>
            <c:strRef>
              <c:f>Blad1!$A$4</c:f>
              <c:strCache>
                <c:ptCount val="1"/>
                <c:pt idx="0">
                  <c:v>Buurt-supermarkten</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Blad1!$B$1:$J$1</c:f>
              <c:strCache>
                <c:ptCount val="9"/>
                <c:pt idx="0">
                  <c:v>2008</c:v>
                </c:pt>
                <c:pt idx="1">
                  <c:v>2009</c:v>
                </c:pt>
                <c:pt idx="2">
                  <c:v>2010</c:v>
                </c:pt>
                <c:pt idx="3">
                  <c:v>2011</c:v>
                </c:pt>
                <c:pt idx="4">
                  <c:v>2012</c:v>
                </c:pt>
                <c:pt idx="5">
                  <c:v>2013</c:v>
                </c:pt>
                <c:pt idx="6">
                  <c:v>2014</c:v>
                </c:pt>
                <c:pt idx="7">
                  <c:v>2015</c:v>
                </c:pt>
                <c:pt idx="8">
                  <c:v>2016</c:v>
                </c:pt>
              </c:strCache>
            </c:strRef>
          </c:cat>
          <c:val>
            <c:numRef>
              <c:f>Blad1!$B$4:$J$4</c:f>
              <c:numCache>
                <c:formatCode>0.00%</c:formatCode>
                <c:ptCount val="9"/>
                <c:pt idx="0">
                  <c:v>9.1600000000000001E-2</c:v>
                </c:pt>
                <c:pt idx="1">
                  <c:v>8.2900000000000001E-2</c:v>
                </c:pt>
                <c:pt idx="2">
                  <c:v>9.0800000000000006E-2</c:v>
                </c:pt>
                <c:pt idx="3">
                  <c:v>9.4500000000000001E-2</c:v>
                </c:pt>
                <c:pt idx="4">
                  <c:v>0.1037</c:v>
                </c:pt>
                <c:pt idx="5">
                  <c:v>9.9900000000000003E-2</c:v>
                </c:pt>
                <c:pt idx="6">
                  <c:v>9.1899999999999996E-2</c:v>
                </c:pt>
                <c:pt idx="7">
                  <c:v>9.69E-2</c:v>
                </c:pt>
                <c:pt idx="8">
                  <c:v>9.2399999999999996E-2</c:v>
                </c:pt>
              </c:numCache>
            </c:numRef>
          </c:val>
          <c:extLst>
            <c:ext xmlns:c16="http://schemas.microsoft.com/office/drawing/2014/chart" uri="{C3380CC4-5D6E-409C-BE32-E72D297353CC}">
              <c16:uniqueId val="{00000002-EDAE-4325-8E6B-BCE2D0598A56}"/>
            </c:ext>
          </c:extLst>
        </c:ser>
        <c:ser>
          <c:idx val="3"/>
          <c:order val="3"/>
          <c:tx>
            <c:strRef>
              <c:f>Blad1!$A$5</c:f>
              <c:strCache>
                <c:ptCount val="1"/>
                <c:pt idx="0">
                  <c:v>overige</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Blad1!$B$1:$J$1</c:f>
              <c:strCache>
                <c:ptCount val="9"/>
                <c:pt idx="0">
                  <c:v>2008</c:v>
                </c:pt>
                <c:pt idx="1">
                  <c:v>2009</c:v>
                </c:pt>
                <c:pt idx="2">
                  <c:v>2010</c:v>
                </c:pt>
                <c:pt idx="3">
                  <c:v>2011</c:v>
                </c:pt>
                <c:pt idx="4">
                  <c:v>2012</c:v>
                </c:pt>
                <c:pt idx="5">
                  <c:v>2013</c:v>
                </c:pt>
                <c:pt idx="6">
                  <c:v>2014</c:v>
                </c:pt>
                <c:pt idx="7">
                  <c:v>2015</c:v>
                </c:pt>
                <c:pt idx="8">
                  <c:v>2016</c:v>
                </c:pt>
              </c:strCache>
            </c:strRef>
          </c:cat>
          <c:val>
            <c:numRef>
              <c:f>Blad1!$B$5:$J$5</c:f>
              <c:numCache>
                <c:formatCode>0.00%</c:formatCode>
                <c:ptCount val="9"/>
                <c:pt idx="0">
                  <c:v>5.7200000000000001E-2</c:v>
                </c:pt>
                <c:pt idx="1">
                  <c:v>6.1699999999999998E-2</c:v>
                </c:pt>
                <c:pt idx="2">
                  <c:v>6.5699999999999995E-2</c:v>
                </c:pt>
                <c:pt idx="3">
                  <c:v>5.9400000000000001E-2</c:v>
                </c:pt>
                <c:pt idx="4">
                  <c:v>5.7599999999999998E-2</c:v>
                </c:pt>
                <c:pt idx="5">
                  <c:v>5.4399999999999997E-2</c:v>
                </c:pt>
                <c:pt idx="6">
                  <c:v>5.74E-2</c:v>
                </c:pt>
                <c:pt idx="7">
                  <c:v>5.8099999999999999E-2</c:v>
                </c:pt>
                <c:pt idx="8">
                  <c:v>5.7799999999999997E-2</c:v>
                </c:pt>
              </c:numCache>
            </c:numRef>
          </c:val>
          <c:extLst>
            <c:ext xmlns:c16="http://schemas.microsoft.com/office/drawing/2014/chart" uri="{C3380CC4-5D6E-409C-BE32-E72D297353CC}">
              <c16:uniqueId val="{00000003-EDAE-4325-8E6B-BCE2D0598A56}"/>
            </c:ext>
          </c:extLst>
        </c:ser>
        <c:dLbls>
          <c:showLegendKey val="0"/>
          <c:showVal val="0"/>
          <c:showCatName val="0"/>
          <c:showSerName val="0"/>
          <c:showPercent val="0"/>
          <c:showBubbleSize val="0"/>
        </c:dLbls>
        <c:gapWidth val="30"/>
        <c:overlap val="100"/>
        <c:axId val="939501424"/>
        <c:axId val="938461072"/>
      </c:barChart>
      <c:catAx>
        <c:axId val="93950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938461072"/>
        <c:crosses val="autoZero"/>
        <c:auto val="1"/>
        <c:lblAlgn val="ctr"/>
        <c:lblOffset val="100"/>
        <c:noMultiLvlLbl val="0"/>
      </c:catAx>
      <c:valAx>
        <c:axId val="938461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939501424"/>
        <c:crosses val="autoZero"/>
        <c:crossBetween val="between"/>
      </c:valAx>
      <c:spPr>
        <a:noFill/>
        <a:ln>
          <a:noFill/>
        </a:ln>
        <a:effectLst/>
      </c:spPr>
    </c:plotArea>
    <c:legend>
      <c:legendPos val="r"/>
      <c:layout>
        <c:manualLayout>
          <c:xMode val="edge"/>
          <c:yMode val="edge"/>
          <c:x val="0.79872302420530772"/>
          <c:y val="0.15593144606924134"/>
          <c:w val="0.18738808690580344"/>
          <c:h val="0.74801774778152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5572</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Verdere verschuiving naar melkdrinks door de verzoeting</vt:lpstr>
    </vt:vector>
  </TitlesOfParts>
  <Company>VLAM</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Verdere verschuiving naar melkdrinks door de verzoeting</dc:title>
  <dc:subject/>
  <dc:creator>lucv</dc:creator>
  <cp:keywords/>
  <cp:lastModifiedBy>Liliane Driesen</cp:lastModifiedBy>
  <cp:revision>2</cp:revision>
  <cp:lastPrinted>2013-03-15T15:17:00Z</cp:lastPrinted>
  <dcterms:created xsi:type="dcterms:W3CDTF">2017-04-24T12:25:00Z</dcterms:created>
  <dcterms:modified xsi:type="dcterms:W3CDTF">2017-04-24T12:25:00Z</dcterms:modified>
</cp:coreProperties>
</file>